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900" w:rsidRDefault="00131FA4" w:rsidP="00DA35B5">
      <w:pPr>
        <w:spacing w:after="0" w:line="240" w:lineRule="auto"/>
        <w:jc w:val="center"/>
        <w:rPr>
          <w:b/>
          <w:sz w:val="36"/>
        </w:rPr>
      </w:pPr>
      <w:r>
        <w:rPr>
          <w:b/>
          <w:sz w:val="36"/>
        </w:rPr>
        <w:t xml:space="preserve">Stressed and injured police barred from relief </w:t>
      </w:r>
    </w:p>
    <w:p w:rsidR="001B3267" w:rsidRDefault="001E6B74" w:rsidP="001B3267">
      <w:pPr>
        <w:tabs>
          <w:tab w:val="left" w:pos="2910"/>
        </w:tabs>
      </w:pPr>
      <w:r>
        <w:tab/>
      </w:r>
    </w:p>
    <w:p w:rsidR="00131FA4" w:rsidRDefault="00131FA4" w:rsidP="002D08CD">
      <w:pPr>
        <w:spacing w:after="0" w:line="240" w:lineRule="auto"/>
        <w:rPr>
          <w:sz w:val="24"/>
          <w:szCs w:val="24"/>
        </w:rPr>
      </w:pPr>
      <w:r>
        <w:rPr>
          <w:sz w:val="24"/>
          <w:szCs w:val="24"/>
        </w:rPr>
        <w:t xml:space="preserve">Figures obtained by the Greens show that one police officer a day is claiming compensation for psychological injuries caused by their work. </w:t>
      </w:r>
      <w:r w:rsidR="00E37A6D">
        <w:rPr>
          <w:sz w:val="24"/>
          <w:szCs w:val="24"/>
        </w:rPr>
        <w:t xml:space="preserve">Cuts to the compensation scheme for police however mean that an increasing number of these police are receiving no financial assistance with an increase from around a quarter to closer to 40% in the last available numbers. </w:t>
      </w:r>
    </w:p>
    <w:p w:rsidR="00E37A6D" w:rsidRDefault="00E37A6D" w:rsidP="002D08CD">
      <w:pPr>
        <w:spacing w:after="0" w:line="240" w:lineRule="auto"/>
        <w:rPr>
          <w:sz w:val="24"/>
          <w:szCs w:val="24"/>
        </w:rPr>
      </w:pPr>
    </w:p>
    <w:p w:rsidR="00E37A6D" w:rsidRPr="00E37A6D" w:rsidRDefault="00E37A6D" w:rsidP="002D08CD">
      <w:pPr>
        <w:spacing w:after="0" w:line="240" w:lineRule="auto"/>
        <w:rPr>
          <w:i/>
          <w:sz w:val="24"/>
          <w:szCs w:val="24"/>
        </w:rPr>
      </w:pPr>
      <w:r>
        <w:rPr>
          <w:i/>
          <w:sz w:val="24"/>
          <w:szCs w:val="24"/>
        </w:rPr>
        <w:t xml:space="preserve">Mental Stress Claims </w:t>
      </w:r>
    </w:p>
    <w:p w:rsidR="00E37A6D" w:rsidRDefault="00E37A6D" w:rsidP="002D08CD">
      <w:pPr>
        <w:spacing w:after="0" w:line="240" w:lineRule="auto"/>
        <w:rPr>
          <w:sz w:val="24"/>
          <w:szCs w:val="24"/>
        </w:rPr>
      </w:pPr>
    </w:p>
    <w:p w:rsidR="00E37A6D" w:rsidRDefault="00E37A6D" w:rsidP="002D08CD">
      <w:pPr>
        <w:spacing w:after="0" w:line="240" w:lineRule="auto"/>
        <w:rPr>
          <w:sz w:val="24"/>
          <w:szCs w:val="24"/>
        </w:rPr>
      </w:pPr>
      <w:r>
        <w:rPr>
          <w:sz w:val="24"/>
          <w:szCs w:val="24"/>
        </w:rPr>
        <w:t xml:space="preserve">In the period 30 November 2011 to 30 November 2013 there were a total of 825 claims by police for compensation as a result of mental stress – this works out to be approximately 1 per day. </w:t>
      </w:r>
    </w:p>
    <w:p w:rsidR="00131FA4" w:rsidRDefault="00131FA4" w:rsidP="002D08CD">
      <w:pPr>
        <w:spacing w:after="0" w:line="240" w:lineRule="auto"/>
        <w:rPr>
          <w:sz w:val="24"/>
          <w:szCs w:val="24"/>
        </w:rPr>
      </w:pPr>
    </w:p>
    <w:p w:rsidR="00517467" w:rsidRDefault="00517467" w:rsidP="002D08CD">
      <w:pPr>
        <w:spacing w:after="0" w:line="240" w:lineRule="auto"/>
        <w:rPr>
          <w:sz w:val="24"/>
          <w:szCs w:val="24"/>
        </w:rPr>
      </w:pPr>
      <w:r>
        <w:rPr>
          <w:sz w:val="24"/>
          <w:szCs w:val="24"/>
        </w:rPr>
        <w:t xml:space="preserve">Mental stress claims are generally related to exposure to a traumatic incident, workplace or occupational violence or workplace harassment and bullying. </w:t>
      </w:r>
    </w:p>
    <w:p w:rsidR="004A1029" w:rsidRDefault="004A1029" w:rsidP="002D08CD">
      <w:pPr>
        <w:spacing w:after="0" w:line="240" w:lineRule="auto"/>
        <w:rPr>
          <w:sz w:val="24"/>
          <w:szCs w:val="24"/>
        </w:rPr>
      </w:pPr>
    </w:p>
    <w:p w:rsidR="004A1029" w:rsidRPr="004A1029" w:rsidRDefault="004A1029" w:rsidP="004A1029">
      <w:pPr>
        <w:spacing w:after="0" w:line="240" w:lineRule="auto"/>
        <w:rPr>
          <w:sz w:val="24"/>
          <w:szCs w:val="24"/>
        </w:rPr>
      </w:pPr>
      <w:proofErr w:type="spellStart"/>
      <w:r>
        <w:rPr>
          <w:sz w:val="24"/>
          <w:szCs w:val="24"/>
        </w:rPr>
        <w:t>SafeWork</w:t>
      </w:r>
      <w:proofErr w:type="spellEnd"/>
      <w:r>
        <w:rPr>
          <w:sz w:val="24"/>
          <w:szCs w:val="24"/>
        </w:rPr>
        <w:t xml:space="preserve"> Australia identifies mental stress claims as being “</w:t>
      </w:r>
      <w:r w:rsidRPr="004A1029">
        <w:rPr>
          <w:sz w:val="24"/>
          <w:szCs w:val="24"/>
        </w:rPr>
        <w:t xml:space="preserve">the most expensive form of workers’ compensation claims because of the often lengthy periods of absence from work typical of </w:t>
      </w:r>
    </w:p>
    <w:p w:rsidR="004A1029" w:rsidRDefault="004A1029" w:rsidP="004A1029">
      <w:pPr>
        <w:spacing w:after="0" w:line="240" w:lineRule="auto"/>
        <w:rPr>
          <w:sz w:val="24"/>
          <w:szCs w:val="24"/>
        </w:rPr>
      </w:pPr>
      <w:proofErr w:type="gramStart"/>
      <w:r w:rsidRPr="004A1029">
        <w:rPr>
          <w:sz w:val="24"/>
          <w:szCs w:val="24"/>
        </w:rPr>
        <w:t>these</w:t>
      </w:r>
      <w:proofErr w:type="gramEnd"/>
      <w:r w:rsidRPr="004A1029">
        <w:rPr>
          <w:sz w:val="24"/>
          <w:szCs w:val="24"/>
        </w:rPr>
        <w:t xml:space="preserve"> claims</w:t>
      </w:r>
      <w:r>
        <w:rPr>
          <w:sz w:val="24"/>
          <w:szCs w:val="24"/>
        </w:rPr>
        <w:t>”</w:t>
      </w:r>
      <w:r w:rsidRPr="004A1029">
        <w:rPr>
          <w:sz w:val="24"/>
          <w:szCs w:val="24"/>
        </w:rPr>
        <w:t>.</w:t>
      </w:r>
      <w:r w:rsidR="003E5217">
        <w:rPr>
          <w:rStyle w:val="FootnoteReference"/>
          <w:sz w:val="24"/>
          <w:szCs w:val="24"/>
        </w:rPr>
        <w:footnoteReference w:id="1"/>
      </w:r>
      <w:r>
        <w:rPr>
          <w:sz w:val="24"/>
          <w:szCs w:val="24"/>
        </w:rPr>
        <w:t xml:space="preserve"> The reason for these long absences is the severely debilitating nature of this condition which makes many workers unable to undertake their normal duties in a way that does not compromise their recovery. </w:t>
      </w:r>
    </w:p>
    <w:p w:rsidR="004A1029" w:rsidRDefault="004A1029" w:rsidP="004A1029">
      <w:pPr>
        <w:spacing w:after="0" w:line="240" w:lineRule="auto"/>
        <w:rPr>
          <w:sz w:val="24"/>
          <w:szCs w:val="24"/>
        </w:rPr>
      </w:pPr>
    </w:p>
    <w:p w:rsidR="00A27776" w:rsidRPr="00A27776" w:rsidRDefault="004A1029" w:rsidP="00A27776">
      <w:pPr>
        <w:spacing w:after="0" w:line="240" w:lineRule="auto"/>
        <w:rPr>
          <w:sz w:val="24"/>
          <w:szCs w:val="24"/>
        </w:rPr>
      </w:pPr>
      <w:proofErr w:type="spellStart"/>
      <w:r>
        <w:rPr>
          <w:sz w:val="24"/>
          <w:szCs w:val="24"/>
        </w:rPr>
        <w:t>SafeWork</w:t>
      </w:r>
      <w:proofErr w:type="spellEnd"/>
      <w:r>
        <w:rPr>
          <w:sz w:val="24"/>
          <w:szCs w:val="24"/>
        </w:rPr>
        <w:t xml:space="preserve"> Australia also recognises mental stress can escalate into serious physical and mental illness if not dealt with appropriately and in a timely fashion.</w:t>
      </w:r>
      <w:r>
        <w:rPr>
          <w:rStyle w:val="FootnoteReference"/>
          <w:sz w:val="24"/>
          <w:szCs w:val="24"/>
        </w:rPr>
        <w:footnoteReference w:id="2"/>
      </w:r>
      <w:r>
        <w:rPr>
          <w:sz w:val="24"/>
          <w:szCs w:val="24"/>
        </w:rPr>
        <w:t xml:space="preserve"> </w:t>
      </w:r>
      <w:r w:rsidR="00A27776">
        <w:rPr>
          <w:sz w:val="24"/>
          <w:szCs w:val="24"/>
        </w:rPr>
        <w:t xml:space="preserve">This can include anxiety and depression as well as </w:t>
      </w:r>
      <w:r w:rsidR="00A27776" w:rsidRPr="00A27776">
        <w:rPr>
          <w:sz w:val="24"/>
          <w:szCs w:val="24"/>
        </w:rPr>
        <w:t xml:space="preserve">musculoskeletal disorders </w:t>
      </w:r>
      <w:r w:rsidR="00A27776">
        <w:rPr>
          <w:sz w:val="24"/>
          <w:szCs w:val="24"/>
        </w:rPr>
        <w:t>and cardiovascular disease among others.</w:t>
      </w:r>
      <w:r w:rsidR="00A27776">
        <w:rPr>
          <w:rStyle w:val="FootnoteReference"/>
          <w:sz w:val="24"/>
          <w:szCs w:val="24"/>
        </w:rPr>
        <w:footnoteReference w:id="3"/>
      </w:r>
    </w:p>
    <w:p w:rsidR="00A27776" w:rsidRDefault="00A27776" w:rsidP="004A1029">
      <w:pPr>
        <w:spacing w:after="0" w:line="240" w:lineRule="auto"/>
        <w:rPr>
          <w:sz w:val="24"/>
          <w:szCs w:val="24"/>
        </w:rPr>
      </w:pPr>
    </w:p>
    <w:p w:rsidR="00A27776" w:rsidRDefault="00A27776" w:rsidP="004A1029">
      <w:pPr>
        <w:spacing w:after="0" w:line="240" w:lineRule="auto"/>
      </w:pPr>
      <w:r>
        <w:rPr>
          <w:sz w:val="24"/>
          <w:szCs w:val="24"/>
        </w:rPr>
        <w:t xml:space="preserve">Of the police making mental stress claims approximately one third of claimants receive a payment for permanent incapacity, and approximately a short receive a payment for both a </w:t>
      </w:r>
      <w:r>
        <w:t>b</w:t>
      </w:r>
      <w:r w:rsidRPr="00536094">
        <w:t xml:space="preserve">oth a Partial &amp; Total </w:t>
      </w:r>
      <w:r>
        <w:t xml:space="preserve">Incapacity. In general these claimants have </w:t>
      </w:r>
      <w:proofErr w:type="spellStart"/>
      <w:r>
        <w:t>initically</w:t>
      </w:r>
      <w:proofErr w:type="spellEnd"/>
      <w:r>
        <w:t xml:space="preserve"> received a payment for partial incapacity, then moved to receiving a payment for total incapacity when the impact of their condition has been fully assessed. </w:t>
      </w:r>
    </w:p>
    <w:p w:rsidR="00A27776" w:rsidRDefault="00A27776" w:rsidP="004A1029">
      <w:pPr>
        <w:spacing w:after="0" w:line="240" w:lineRule="auto"/>
      </w:pPr>
    </w:p>
    <w:p w:rsidR="00A27776" w:rsidRDefault="00A27776" w:rsidP="004A1029">
      <w:pPr>
        <w:spacing w:after="0" w:line="240" w:lineRule="auto"/>
      </w:pPr>
      <w:r>
        <w:t xml:space="preserve">Worryingly this class of claimant appears to be decreasing, while the numbers of claimants not receiving an incapacity payment increases. </w:t>
      </w:r>
    </w:p>
    <w:p w:rsidR="00A27776" w:rsidRDefault="00A27776" w:rsidP="004A1029">
      <w:pPr>
        <w:spacing w:after="0" w:line="240" w:lineRule="auto"/>
      </w:pPr>
    </w:p>
    <w:p w:rsidR="00A27776" w:rsidRDefault="00A27776" w:rsidP="004A1029">
      <w:pPr>
        <w:spacing w:after="0" w:line="240" w:lineRule="auto"/>
        <w:rPr>
          <w:sz w:val="24"/>
          <w:szCs w:val="24"/>
        </w:rPr>
      </w:pPr>
      <w:r>
        <w:t xml:space="preserve">The number of police receiving payments for </w:t>
      </w:r>
      <w:r w:rsidR="0097538F">
        <w:t>b</w:t>
      </w:r>
      <w:r w:rsidRPr="00536094">
        <w:t>oth a Partial &amp; Total Incapacity Payment</w:t>
      </w:r>
      <w:r w:rsidR="0097538F">
        <w:rPr>
          <w:sz w:val="24"/>
          <w:szCs w:val="24"/>
        </w:rPr>
        <w:t xml:space="preserve"> went from 41.26% and 42.2% of claimants down to 24.66% in the most recent period, while those not receiving an incapacity payment went from 24.54% and 24.63% down to 38.36% in the most recent period. This means that there is a 50% increase in the number of claimants for mental stress having their </w:t>
      </w:r>
      <w:r w:rsidR="0097538F">
        <w:rPr>
          <w:sz w:val="24"/>
          <w:szCs w:val="24"/>
        </w:rPr>
        <w:lastRenderedPageBreak/>
        <w:t xml:space="preserve">claims rejected. This means more police are making mental stress claims indicating that they do not feel they are able to do their jobs, but receiving no payments – essentially meaning they are forced to continue working despite the </w:t>
      </w:r>
      <w:r w:rsidR="001D211C">
        <w:rPr>
          <w:sz w:val="24"/>
          <w:szCs w:val="24"/>
        </w:rPr>
        <w:t xml:space="preserve">negative impact this has on their mental and physical health. </w:t>
      </w:r>
    </w:p>
    <w:p w:rsidR="0097538F" w:rsidRDefault="0097538F" w:rsidP="004A1029">
      <w:pPr>
        <w:spacing w:after="0" w:line="240" w:lineRule="auto"/>
        <w:rPr>
          <w:sz w:val="24"/>
          <w:szCs w:val="24"/>
        </w:rPr>
      </w:pPr>
    </w:p>
    <w:p w:rsidR="004A1029" w:rsidRDefault="004A1029" w:rsidP="004A1029">
      <w:pPr>
        <w:spacing w:after="0" w:line="240" w:lineRule="auto"/>
        <w:rPr>
          <w:sz w:val="24"/>
          <w:szCs w:val="24"/>
        </w:rPr>
      </w:pPr>
    </w:p>
    <w:tbl>
      <w:tblPr>
        <w:tblW w:w="9461" w:type="dxa"/>
        <w:tblCellSpacing w:w="15" w:type="dxa"/>
        <w:tblCellMar>
          <w:top w:w="15" w:type="dxa"/>
          <w:left w:w="15" w:type="dxa"/>
          <w:bottom w:w="15" w:type="dxa"/>
          <w:right w:w="15" w:type="dxa"/>
        </w:tblCellMar>
        <w:tblLook w:val="04A0"/>
      </w:tblPr>
      <w:tblGrid>
        <w:gridCol w:w="3933"/>
        <w:gridCol w:w="1984"/>
        <w:gridCol w:w="1564"/>
        <w:gridCol w:w="1980"/>
      </w:tblGrid>
      <w:tr w:rsidR="00735E17" w:rsidRPr="00536094" w:rsidTr="00A27776">
        <w:trPr>
          <w:tblCellSpacing w:w="15" w:type="dxa"/>
        </w:trPr>
        <w:tc>
          <w:tcPr>
            <w:tcW w:w="3888" w:type="dxa"/>
            <w:tcMar>
              <w:top w:w="30" w:type="dxa"/>
              <w:left w:w="75" w:type="dxa"/>
              <w:bottom w:w="30" w:type="dxa"/>
              <w:right w:w="75" w:type="dxa"/>
            </w:tcMar>
            <w:hideMark/>
          </w:tcPr>
          <w:p w:rsidR="00735E17" w:rsidRPr="00536094" w:rsidRDefault="00735E17" w:rsidP="00A27776">
            <w:r w:rsidRPr="00536094">
              <w:t>Mental Stress Claims</w:t>
            </w:r>
          </w:p>
        </w:tc>
        <w:tc>
          <w:tcPr>
            <w:tcW w:w="1954" w:type="dxa"/>
            <w:tcMar>
              <w:top w:w="30" w:type="dxa"/>
              <w:left w:w="75" w:type="dxa"/>
              <w:bottom w:w="30" w:type="dxa"/>
              <w:right w:w="75" w:type="dxa"/>
            </w:tcMar>
            <w:hideMark/>
          </w:tcPr>
          <w:p w:rsidR="00735E17" w:rsidRPr="00536094" w:rsidRDefault="00735E17" w:rsidP="00A27776">
            <w:r w:rsidRPr="00536094">
              <w:t>.</w:t>
            </w:r>
          </w:p>
        </w:tc>
        <w:tc>
          <w:tcPr>
            <w:tcW w:w="1534" w:type="dxa"/>
            <w:tcMar>
              <w:top w:w="30" w:type="dxa"/>
              <w:left w:w="75" w:type="dxa"/>
              <w:bottom w:w="30" w:type="dxa"/>
              <w:right w:w="75" w:type="dxa"/>
            </w:tcMar>
            <w:hideMark/>
          </w:tcPr>
          <w:p w:rsidR="00735E17" w:rsidRPr="00536094" w:rsidRDefault="00735E17" w:rsidP="00A27776">
            <w:r w:rsidRPr="00536094">
              <w:t>.</w:t>
            </w:r>
          </w:p>
        </w:tc>
        <w:tc>
          <w:tcPr>
            <w:tcW w:w="1935" w:type="dxa"/>
            <w:tcMar>
              <w:top w:w="30" w:type="dxa"/>
              <w:left w:w="75" w:type="dxa"/>
              <w:bottom w:w="30" w:type="dxa"/>
              <w:right w:w="75" w:type="dxa"/>
            </w:tcMar>
            <w:hideMark/>
          </w:tcPr>
          <w:p w:rsidR="00735E17" w:rsidRPr="00536094" w:rsidRDefault="00735E17" w:rsidP="00A27776">
            <w:r w:rsidRPr="00536094">
              <w:t>.</w:t>
            </w:r>
          </w:p>
        </w:tc>
      </w:tr>
      <w:tr w:rsidR="00735E17" w:rsidRPr="00536094" w:rsidTr="00A27776">
        <w:trPr>
          <w:tblCellSpacing w:w="15" w:type="dxa"/>
        </w:trPr>
        <w:tc>
          <w:tcPr>
            <w:tcW w:w="3888" w:type="dxa"/>
            <w:tcMar>
              <w:top w:w="30" w:type="dxa"/>
              <w:left w:w="75" w:type="dxa"/>
              <w:bottom w:w="30" w:type="dxa"/>
              <w:right w:w="75" w:type="dxa"/>
            </w:tcMar>
            <w:hideMark/>
          </w:tcPr>
          <w:p w:rsidR="00735E17" w:rsidRPr="00536094" w:rsidRDefault="00735E17" w:rsidP="00A27776">
            <w:r w:rsidRPr="00536094">
              <w:t>Period Date Claim Reported</w:t>
            </w:r>
          </w:p>
        </w:tc>
        <w:tc>
          <w:tcPr>
            <w:tcW w:w="1954" w:type="dxa"/>
            <w:tcMar>
              <w:top w:w="30" w:type="dxa"/>
              <w:left w:w="75" w:type="dxa"/>
              <w:bottom w:w="30" w:type="dxa"/>
              <w:right w:w="75" w:type="dxa"/>
            </w:tcMar>
            <w:hideMark/>
          </w:tcPr>
          <w:p w:rsidR="00735E17" w:rsidRDefault="00735E17" w:rsidP="00A27776">
            <w:r w:rsidRPr="00536094">
              <w:t>30 November 2011 to 30 June 2012</w:t>
            </w:r>
          </w:p>
          <w:p w:rsidR="00735E17" w:rsidRPr="00536094" w:rsidRDefault="00735E17" w:rsidP="00A27776">
            <w:r>
              <w:t xml:space="preserve">(7 months) </w:t>
            </w:r>
          </w:p>
        </w:tc>
        <w:tc>
          <w:tcPr>
            <w:tcW w:w="1534" w:type="dxa"/>
            <w:tcMar>
              <w:top w:w="30" w:type="dxa"/>
              <w:left w:w="75" w:type="dxa"/>
              <w:bottom w:w="30" w:type="dxa"/>
              <w:right w:w="75" w:type="dxa"/>
            </w:tcMar>
            <w:hideMark/>
          </w:tcPr>
          <w:p w:rsidR="00735E17" w:rsidRDefault="00735E17" w:rsidP="00A27776">
            <w:r w:rsidRPr="00536094">
              <w:t>1 July 2012 to </w:t>
            </w:r>
            <w:r w:rsidRPr="00536094">
              <w:br/>
              <w:t>30 June 2013</w:t>
            </w:r>
          </w:p>
          <w:p w:rsidR="00735E17" w:rsidRPr="00536094" w:rsidRDefault="00735E17" w:rsidP="00A27776">
            <w:r>
              <w:t xml:space="preserve">(12 months) </w:t>
            </w:r>
          </w:p>
        </w:tc>
        <w:tc>
          <w:tcPr>
            <w:tcW w:w="1935" w:type="dxa"/>
            <w:tcMar>
              <w:top w:w="30" w:type="dxa"/>
              <w:left w:w="75" w:type="dxa"/>
              <w:bottom w:w="30" w:type="dxa"/>
              <w:right w:w="75" w:type="dxa"/>
            </w:tcMar>
            <w:hideMark/>
          </w:tcPr>
          <w:p w:rsidR="00735E17" w:rsidRDefault="00735E17" w:rsidP="00A27776">
            <w:r w:rsidRPr="00536094">
              <w:t>1 July 2013 to </w:t>
            </w:r>
            <w:r w:rsidRPr="00536094">
              <w:br/>
              <w:t>30 November 2013</w:t>
            </w:r>
          </w:p>
          <w:p w:rsidR="00735E17" w:rsidRPr="00536094" w:rsidRDefault="00735E17" w:rsidP="00A27776">
            <w:r>
              <w:t xml:space="preserve">(5 months) </w:t>
            </w:r>
          </w:p>
        </w:tc>
      </w:tr>
      <w:tr w:rsidR="00735E17" w:rsidRPr="00536094" w:rsidTr="00A27776">
        <w:trPr>
          <w:tblCellSpacing w:w="15" w:type="dxa"/>
        </w:trPr>
        <w:tc>
          <w:tcPr>
            <w:tcW w:w="3888" w:type="dxa"/>
            <w:tcMar>
              <w:top w:w="30" w:type="dxa"/>
              <w:left w:w="75" w:type="dxa"/>
              <w:bottom w:w="30" w:type="dxa"/>
              <w:right w:w="75" w:type="dxa"/>
            </w:tcMar>
            <w:hideMark/>
          </w:tcPr>
          <w:p w:rsidR="00735E17" w:rsidRPr="00536094" w:rsidRDefault="00735E17" w:rsidP="00A27776">
            <w:r w:rsidRPr="00536094">
              <w:t>No. of Mental Stress Claims Receiving a Permanent Incapacity Payment</w:t>
            </w:r>
          </w:p>
        </w:tc>
        <w:tc>
          <w:tcPr>
            <w:tcW w:w="1954" w:type="dxa"/>
            <w:tcMar>
              <w:top w:w="30" w:type="dxa"/>
              <w:left w:w="75" w:type="dxa"/>
              <w:bottom w:w="30" w:type="dxa"/>
              <w:right w:w="75" w:type="dxa"/>
            </w:tcMar>
            <w:hideMark/>
          </w:tcPr>
          <w:p w:rsidR="00735E17" w:rsidRDefault="00735E17" w:rsidP="00A27776">
            <w:r w:rsidRPr="00536094">
              <w:t>81</w:t>
            </w:r>
            <w:r>
              <w:t xml:space="preserve"> </w:t>
            </w:r>
          </w:p>
          <w:p w:rsidR="00735E17" w:rsidRPr="00536094" w:rsidRDefault="00735E17" w:rsidP="00A27776">
            <w:r>
              <w:t>(11.57)</w:t>
            </w:r>
          </w:p>
        </w:tc>
        <w:tc>
          <w:tcPr>
            <w:tcW w:w="1534" w:type="dxa"/>
            <w:tcMar>
              <w:top w:w="30" w:type="dxa"/>
              <w:left w:w="75" w:type="dxa"/>
              <w:bottom w:w="30" w:type="dxa"/>
              <w:right w:w="75" w:type="dxa"/>
            </w:tcMar>
            <w:hideMark/>
          </w:tcPr>
          <w:p w:rsidR="00735E17" w:rsidRDefault="00735E17" w:rsidP="00A27776">
            <w:r w:rsidRPr="00536094">
              <w:t>112</w:t>
            </w:r>
          </w:p>
          <w:p w:rsidR="00735E17" w:rsidRPr="00536094" w:rsidRDefault="00735E17" w:rsidP="00A27776">
            <w:r>
              <w:t>(9.33)</w:t>
            </w:r>
          </w:p>
        </w:tc>
        <w:tc>
          <w:tcPr>
            <w:tcW w:w="1935" w:type="dxa"/>
            <w:tcMar>
              <w:top w:w="30" w:type="dxa"/>
              <w:left w:w="75" w:type="dxa"/>
              <w:bottom w:w="30" w:type="dxa"/>
              <w:right w:w="75" w:type="dxa"/>
            </w:tcMar>
            <w:hideMark/>
          </w:tcPr>
          <w:p w:rsidR="00735E17" w:rsidRDefault="00735E17" w:rsidP="00A27776">
            <w:r w:rsidRPr="00536094">
              <w:t>50</w:t>
            </w:r>
          </w:p>
          <w:p w:rsidR="00735E17" w:rsidRPr="00536094" w:rsidRDefault="00735E17" w:rsidP="00A27776">
            <w:r>
              <w:t>(10)</w:t>
            </w:r>
          </w:p>
        </w:tc>
      </w:tr>
      <w:tr w:rsidR="00735E17" w:rsidRPr="00536094" w:rsidTr="00A27776">
        <w:trPr>
          <w:tblCellSpacing w:w="15" w:type="dxa"/>
        </w:trPr>
        <w:tc>
          <w:tcPr>
            <w:tcW w:w="3888" w:type="dxa"/>
            <w:tcMar>
              <w:top w:w="30" w:type="dxa"/>
              <w:left w:w="75" w:type="dxa"/>
              <w:bottom w:w="30" w:type="dxa"/>
              <w:right w:w="75" w:type="dxa"/>
            </w:tcMar>
            <w:hideMark/>
          </w:tcPr>
          <w:p w:rsidR="00735E17" w:rsidRPr="00536094" w:rsidRDefault="00735E17" w:rsidP="00A27776">
            <w:r w:rsidRPr="00536094">
              <w:t>No. of Mental Stress Claims Receiving a Partial Incapacity Payment</w:t>
            </w:r>
          </w:p>
        </w:tc>
        <w:tc>
          <w:tcPr>
            <w:tcW w:w="1954" w:type="dxa"/>
            <w:tcMar>
              <w:top w:w="30" w:type="dxa"/>
              <w:left w:w="75" w:type="dxa"/>
              <w:bottom w:w="30" w:type="dxa"/>
              <w:right w:w="75" w:type="dxa"/>
            </w:tcMar>
            <w:hideMark/>
          </w:tcPr>
          <w:p w:rsidR="00735E17" w:rsidRDefault="00735E17" w:rsidP="00A27776">
            <w:r w:rsidRPr="00536094">
              <w:t>11</w:t>
            </w:r>
          </w:p>
          <w:p w:rsidR="00735E17" w:rsidRPr="00536094" w:rsidRDefault="00735E17" w:rsidP="00A27776">
            <w:r>
              <w:t>(1.57)</w:t>
            </w:r>
          </w:p>
        </w:tc>
        <w:tc>
          <w:tcPr>
            <w:tcW w:w="1534" w:type="dxa"/>
            <w:tcMar>
              <w:top w:w="30" w:type="dxa"/>
              <w:left w:w="75" w:type="dxa"/>
              <w:bottom w:w="30" w:type="dxa"/>
              <w:right w:w="75" w:type="dxa"/>
            </w:tcMar>
            <w:hideMark/>
          </w:tcPr>
          <w:p w:rsidR="00735E17" w:rsidRDefault="00735E17" w:rsidP="00A27776">
            <w:r w:rsidRPr="00536094">
              <w:t>24</w:t>
            </w:r>
          </w:p>
          <w:p w:rsidR="00735E17" w:rsidRPr="00536094" w:rsidRDefault="00735E17" w:rsidP="00A27776">
            <w:r>
              <w:t>(2)</w:t>
            </w:r>
          </w:p>
        </w:tc>
        <w:tc>
          <w:tcPr>
            <w:tcW w:w="1935" w:type="dxa"/>
            <w:tcMar>
              <w:top w:w="30" w:type="dxa"/>
              <w:left w:w="75" w:type="dxa"/>
              <w:bottom w:w="30" w:type="dxa"/>
              <w:right w:w="75" w:type="dxa"/>
            </w:tcMar>
            <w:hideMark/>
          </w:tcPr>
          <w:p w:rsidR="00735E17" w:rsidRDefault="00735E17" w:rsidP="00A27776">
            <w:r w:rsidRPr="00536094">
              <w:t>4</w:t>
            </w:r>
          </w:p>
          <w:p w:rsidR="00735E17" w:rsidRPr="00536094" w:rsidRDefault="00735E17" w:rsidP="00A27776">
            <w:r>
              <w:t>(0.8)</w:t>
            </w:r>
          </w:p>
        </w:tc>
      </w:tr>
      <w:tr w:rsidR="00735E17" w:rsidRPr="00536094" w:rsidTr="00A27776">
        <w:trPr>
          <w:tblCellSpacing w:w="15" w:type="dxa"/>
        </w:trPr>
        <w:tc>
          <w:tcPr>
            <w:tcW w:w="3888" w:type="dxa"/>
            <w:tcMar>
              <w:top w:w="30" w:type="dxa"/>
              <w:left w:w="75" w:type="dxa"/>
              <w:bottom w:w="30" w:type="dxa"/>
              <w:right w:w="75" w:type="dxa"/>
            </w:tcMar>
            <w:hideMark/>
          </w:tcPr>
          <w:p w:rsidR="00735E17" w:rsidRPr="00536094" w:rsidRDefault="00735E17" w:rsidP="00A27776">
            <w:r w:rsidRPr="00536094">
              <w:t>No. of Mental Stress Claims Receiving Both a Partial &amp; Total Incapacity Payment</w:t>
            </w:r>
          </w:p>
        </w:tc>
        <w:tc>
          <w:tcPr>
            <w:tcW w:w="1954" w:type="dxa"/>
            <w:tcMar>
              <w:top w:w="30" w:type="dxa"/>
              <w:left w:w="75" w:type="dxa"/>
              <w:bottom w:w="30" w:type="dxa"/>
              <w:right w:w="75" w:type="dxa"/>
            </w:tcMar>
            <w:hideMark/>
          </w:tcPr>
          <w:p w:rsidR="00735E17" w:rsidRDefault="00735E17" w:rsidP="00A27776">
            <w:r w:rsidRPr="00536094">
              <w:t>111</w:t>
            </w:r>
          </w:p>
          <w:p w:rsidR="00735E17" w:rsidRDefault="00735E17" w:rsidP="00A27776">
            <w:r>
              <w:t>(15.86)</w:t>
            </w:r>
          </w:p>
          <w:p w:rsidR="0097538F" w:rsidRPr="00536094" w:rsidRDefault="0097538F" w:rsidP="00A27776">
            <w:r>
              <w:t>41.26%</w:t>
            </w:r>
          </w:p>
        </w:tc>
        <w:tc>
          <w:tcPr>
            <w:tcW w:w="1534" w:type="dxa"/>
            <w:tcMar>
              <w:top w:w="30" w:type="dxa"/>
              <w:left w:w="75" w:type="dxa"/>
              <w:bottom w:w="30" w:type="dxa"/>
              <w:right w:w="75" w:type="dxa"/>
            </w:tcMar>
            <w:hideMark/>
          </w:tcPr>
          <w:p w:rsidR="00735E17" w:rsidRDefault="00735E17" w:rsidP="00A27776">
            <w:r w:rsidRPr="00536094">
              <w:t>173</w:t>
            </w:r>
          </w:p>
          <w:p w:rsidR="00735E17" w:rsidRDefault="00735E17" w:rsidP="00A27776">
            <w:r>
              <w:t>(14.41)</w:t>
            </w:r>
          </w:p>
          <w:p w:rsidR="0097538F" w:rsidRPr="00536094" w:rsidRDefault="0097538F" w:rsidP="00A27776">
            <w:r>
              <w:t>42.20%</w:t>
            </w:r>
          </w:p>
        </w:tc>
        <w:tc>
          <w:tcPr>
            <w:tcW w:w="1935" w:type="dxa"/>
            <w:tcMar>
              <w:top w:w="30" w:type="dxa"/>
              <w:left w:w="75" w:type="dxa"/>
              <w:bottom w:w="30" w:type="dxa"/>
              <w:right w:w="75" w:type="dxa"/>
            </w:tcMar>
            <w:hideMark/>
          </w:tcPr>
          <w:p w:rsidR="00735E17" w:rsidRDefault="00735E17" w:rsidP="00A27776">
            <w:r w:rsidRPr="00536094">
              <w:t>36</w:t>
            </w:r>
          </w:p>
          <w:p w:rsidR="00735E17" w:rsidRDefault="00735E17" w:rsidP="00A27776">
            <w:r>
              <w:t>(7.2)</w:t>
            </w:r>
          </w:p>
          <w:p w:rsidR="0097538F" w:rsidRDefault="0097538F" w:rsidP="00A27776">
            <w:r>
              <w:t>24.66%</w:t>
            </w:r>
          </w:p>
          <w:p w:rsidR="0097538F" w:rsidRPr="00536094" w:rsidRDefault="0097538F" w:rsidP="00A27776"/>
        </w:tc>
      </w:tr>
      <w:tr w:rsidR="00735E17" w:rsidRPr="00536094" w:rsidTr="001D211C">
        <w:trPr>
          <w:tblCellSpacing w:w="15" w:type="dxa"/>
        </w:trPr>
        <w:tc>
          <w:tcPr>
            <w:tcW w:w="3888" w:type="dxa"/>
            <w:shd w:val="clear" w:color="auto" w:fill="auto"/>
            <w:tcMar>
              <w:top w:w="30" w:type="dxa"/>
              <w:left w:w="75" w:type="dxa"/>
              <w:bottom w:w="30" w:type="dxa"/>
              <w:right w:w="75" w:type="dxa"/>
            </w:tcMar>
            <w:hideMark/>
          </w:tcPr>
          <w:p w:rsidR="00735E17" w:rsidRPr="00536094" w:rsidRDefault="00735E17" w:rsidP="00A27776">
            <w:r w:rsidRPr="00536094">
              <w:t>No. of Mental Stress Claims Not Receiving an Incapacity Payment</w:t>
            </w:r>
          </w:p>
        </w:tc>
        <w:tc>
          <w:tcPr>
            <w:tcW w:w="1954" w:type="dxa"/>
            <w:shd w:val="clear" w:color="auto" w:fill="auto"/>
            <w:tcMar>
              <w:top w:w="30" w:type="dxa"/>
              <w:left w:w="75" w:type="dxa"/>
              <w:bottom w:w="30" w:type="dxa"/>
              <w:right w:w="75" w:type="dxa"/>
            </w:tcMar>
            <w:hideMark/>
          </w:tcPr>
          <w:p w:rsidR="00735E17" w:rsidRDefault="00735E17" w:rsidP="00A27776">
            <w:r w:rsidRPr="00536094">
              <w:t>66</w:t>
            </w:r>
          </w:p>
          <w:p w:rsidR="00735E17" w:rsidRDefault="00735E17" w:rsidP="00A27776">
            <w:r>
              <w:t>(9.43)</w:t>
            </w:r>
          </w:p>
          <w:p w:rsidR="00735E17" w:rsidRPr="00536094" w:rsidRDefault="00735E17" w:rsidP="00A27776">
            <w:r>
              <w:t>24.54%</w:t>
            </w:r>
          </w:p>
        </w:tc>
        <w:tc>
          <w:tcPr>
            <w:tcW w:w="1534" w:type="dxa"/>
            <w:shd w:val="clear" w:color="auto" w:fill="auto"/>
            <w:tcMar>
              <w:top w:w="30" w:type="dxa"/>
              <w:left w:w="75" w:type="dxa"/>
              <w:bottom w:w="30" w:type="dxa"/>
              <w:right w:w="75" w:type="dxa"/>
            </w:tcMar>
            <w:hideMark/>
          </w:tcPr>
          <w:p w:rsidR="00735E17" w:rsidRDefault="00735E17" w:rsidP="00A27776">
            <w:r w:rsidRPr="00536094">
              <w:t>101</w:t>
            </w:r>
          </w:p>
          <w:p w:rsidR="00735E17" w:rsidRDefault="00735E17" w:rsidP="00A27776">
            <w:r>
              <w:t>(8.42)</w:t>
            </w:r>
          </w:p>
          <w:p w:rsidR="00735E17" w:rsidRPr="00536094" w:rsidRDefault="00735E17" w:rsidP="00A27776">
            <w:r>
              <w:t>24.63%</w:t>
            </w:r>
          </w:p>
        </w:tc>
        <w:tc>
          <w:tcPr>
            <w:tcW w:w="1935" w:type="dxa"/>
            <w:shd w:val="clear" w:color="auto" w:fill="auto"/>
            <w:tcMar>
              <w:top w:w="30" w:type="dxa"/>
              <w:left w:w="75" w:type="dxa"/>
              <w:bottom w:w="30" w:type="dxa"/>
              <w:right w:w="75" w:type="dxa"/>
            </w:tcMar>
            <w:hideMark/>
          </w:tcPr>
          <w:p w:rsidR="00735E17" w:rsidRDefault="00735E17" w:rsidP="00A27776">
            <w:r w:rsidRPr="00536094">
              <w:t>56</w:t>
            </w:r>
          </w:p>
          <w:p w:rsidR="00735E17" w:rsidRDefault="00735E17" w:rsidP="00A27776">
            <w:r>
              <w:t>(11.2)</w:t>
            </w:r>
          </w:p>
          <w:p w:rsidR="00735E17" w:rsidRPr="00536094" w:rsidRDefault="00735E17" w:rsidP="00A27776">
            <w:r>
              <w:t xml:space="preserve">38.36% (50% increase in proportion of claims being rejected) </w:t>
            </w:r>
          </w:p>
        </w:tc>
      </w:tr>
      <w:tr w:rsidR="00735E17" w:rsidRPr="00536094" w:rsidTr="00A27776">
        <w:trPr>
          <w:tblCellSpacing w:w="15" w:type="dxa"/>
        </w:trPr>
        <w:tc>
          <w:tcPr>
            <w:tcW w:w="3888" w:type="dxa"/>
            <w:tcMar>
              <w:top w:w="30" w:type="dxa"/>
              <w:left w:w="75" w:type="dxa"/>
              <w:bottom w:w="30" w:type="dxa"/>
              <w:right w:w="75" w:type="dxa"/>
            </w:tcMar>
            <w:hideMark/>
          </w:tcPr>
          <w:p w:rsidR="00735E17" w:rsidRPr="00536094" w:rsidRDefault="00735E17" w:rsidP="00A27776">
            <w:r w:rsidRPr="00536094">
              <w:t>Total No. of Mental Stress Claims for the Period</w:t>
            </w:r>
            <w:r>
              <w:t xml:space="preserve"> – approximately one per day. </w:t>
            </w:r>
          </w:p>
        </w:tc>
        <w:tc>
          <w:tcPr>
            <w:tcW w:w="1954" w:type="dxa"/>
            <w:tcMar>
              <w:top w:w="30" w:type="dxa"/>
              <w:left w:w="75" w:type="dxa"/>
              <w:bottom w:w="30" w:type="dxa"/>
              <w:right w:w="75" w:type="dxa"/>
            </w:tcMar>
            <w:hideMark/>
          </w:tcPr>
          <w:p w:rsidR="00735E17" w:rsidRDefault="00735E17" w:rsidP="00A27776">
            <w:r w:rsidRPr="00536094">
              <w:t>269</w:t>
            </w:r>
          </w:p>
          <w:p w:rsidR="00735E17" w:rsidRPr="00536094" w:rsidRDefault="00735E17" w:rsidP="00A27776">
            <w:r>
              <w:t>(38.43)</w:t>
            </w:r>
          </w:p>
        </w:tc>
        <w:tc>
          <w:tcPr>
            <w:tcW w:w="1534" w:type="dxa"/>
            <w:tcMar>
              <w:top w:w="30" w:type="dxa"/>
              <w:left w:w="75" w:type="dxa"/>
              <w:bottom w:w="30" w:type="dxa"/>
              <w:right w:w="75" w:type="dxa"/>
            </w:tcMar>
            <w:hideMark/>
          </w:tcPr>
          <w:p w:rsidR="00735E17" w:rsidRDefault="00735E17" w:rsidP="00A27776">
            <w:r w:rsidRPr="00536094">
              <w:t>410</w:t>
            </w:r>
          </w:p>
          <w:p w:rsidR="00735E17" w:rsidRPr="00536094" w:rsidRDefault="00735E17" w:rsidP="00A27776">
            <w:r>
              <w:t>(34.17)</w:t>
            </w:r>
          </w:p>
        </w:tc>
        <w:tc>
          <w:tcPr>
            <w:tcW w:w="1935" w:type="dxa"/>
            <w:tcMar>
              <w:top w:w="30" w:type="dxa"/>
              <w:left w:w="75" w:type="dxa"/>
              <w:bottom w:w="30" w:type="dxa"/>
              <w:right w:w="75" w:type="dxa"/>
            </w:tcMar>
            <w:hideMark/>
          </w:tcPr>
          <w:p w:rsidR="00735E17" w:rsidRDefault="00735E17" w:rsidP="00A27776">
            <w:r w:rsidRPr="00536094">
              <w:t>146</w:t>
            </w:r>
          </w:p>
          <w:p w:rsidR="00735E17" w:rsidRPr="00536094" w:rsidRDefault="00735E17" w:rsidP="00A27776">
            <w:r>
              <w:t>(29.2)</w:t>
            </w:r>
          </w:p>
        </w:tc>
      </w:tr>
    </w:tbl>
    <w:p w:rsidR="00735E17" w:rsidRDefault="00735E17" w:rsidP="002D08CD">
      <w:pPr>
        <w:spacing w:after="0" w:line="240" w:lineRule="auto"/>
        <w:rPr>
          <w:sz w:val="24"/>
          <w:szCs w:val="24"/>
        </w:rPr>
      </w:pPr>
    </w:p>
    <w:p w:rsidR="00ED0A02" w:rsidRDefault="00ED0A02" w:rsidP="00B56619">
      <w:pPr>
        <w:spacing w:after="0" w:line="240" w:lineRule="auto"/>
        <w:rPr>
          <w:sz w:val="24"/>
          <w:szCs w:val="24"/>
        </w:rPr>
      </w:pPr>
    </w:p>
    <w:p w:rsidR="001D211C" w:rsidRDefault="001D211C" w:rsidP="00B56619">
      <w:pPr>
        <w:spacing w:after="0" w:line="240" w:lineRule="auto"/>
        <w:rPr>
          <w:sz w:val="24"/>
          <w:szCs w:val="24"/>
        </w:rPr>
      </w:pPr>
    </w:p>
    <w:p w:rsidR="001D211C" w:rsidRPr="001B3267" w:rsidRDefault="001D211C" w:rsidP="00B56619">
      <w:pPr>
        <w:spacing w:after="0" w:line="240" w:lineRule="auto"/>
        <w:rPr>
          <w:sz w:val="24"/>
          <w:szCs w:val="24"/>
        </w:rPr>
      </w:pPr>
    </w:p>
    <w:p w:rsidR="001B3267" w:rsidRPr="001B3267" w:rsidRDefault="001B3267" w:rsidP="00B56619">
      <w:pPr>
        <w:spacing w:line="240" w:lineRule="auto"/>
        <w:rPr>
          <w:sz w:val="24"/>
          <w:szCs w:val="24"/>
        </w:rPr>
      </w:pPr>
      <w:r w:rsidRPr="001B3267">
        <w:rPr>
          <w:sz w:val="24"/>
          <w:szCs w:val="24"/>
        </w:rPr>
        <w:t xml:space="preserve">Greens MP and </w:t>
      </w:r>
      <w:r w:rsidR="00E37A6D">
        <w:rPr>
          <w:sz w:val="24"/>
          <w:szCs w:val="24"/>
        </w:rPr>
        <w:t>Industrial Relations</w:t>
      </w:r>
      <w:r w:rsidR="00A064CF">
        <w:rPr>
          <w:sz w:val="24"/>
          <w:szCs w:val="24"/>
        </w:rPr>
        <w:t xml:space="preserve"> </w:t>
      </w:r>
      <w:r w:rsidRPr="001B3267">
        <w:rPr>
          <w:sz w:val="24"/>
          <w:szCs w:val="24"/>
        </w:rPr>
        <w:t>Spokesperson David Shoebridge said:</w:t>
      </w:r>
    </w:p>
    <w:p w:rsidR="00735E17" w:rsidRDefault="00B56619" w:rsidP="00735E17">
      <w:pPr>
        <w:spacing w:line="240" w:lineRule="auto"/>
        <w:rPr>
          <w:sz w:val="24"/>
          <w:szCs w:val="24"/>
        </w:rPr>
      </w:pPr>
      <w:r>
        <w:rPr>
          <w:sz w:val="24"/>
          <w:szCs w:val="24"/>
        </w:rPr>
        <w:t>“</w:t>
      </w:r>
      <w:r w:rsidR="001D211C">
        <w:rPr>
          <w:sz w:val="24"/>
          <w:szCs w:val="24"/>
        </w:rPr>
        <w:t xml:space="preserve">The number of police having their mental stress claims </w:t>
      </w:r>
      <w:r w:rsidR="001A5B4A">
        <w:rPr>
          <w:sz w:val="24"/>
          <w:szCs w:val="24"/>
        </w:rPr>
        <w:t xml:space="preserve">rejected </w:t>
      </w:r>
      <w:r w:rsidR="001D211C">
        <w:rPr>
          <w:sz w:val="24"/>
          <w:szCs w:val="24"/>
        </w:rPr>
        <w:t xml:space="preserve">is increasing – meaning we have more police on the beat who feel they are not able to handle the job. </w:t>
      </w:r>
    </w:p>
    <w:p w:rsidR="001D211C" w:rsidRDefault="001D211C" w:rsidP="00735E17">
      <w:pPr>
        <w:spacing w:line="240" w:lineRule="auto"/>
        <w:rPr>
          <w:sz w:val="24"/>
          <w:szCs w:val="24"/>
        </w:rPr>
      </w:pPr>
      <w:r>
        <w:rPr>
          <w:sz w:val="24"/>
          <w:szCs w:val="24"/>
        </w:rPr>
        <w:t xml:space="preserve">“The safety of our police and the safety of our community are not assisted by forcing police with mental stress claims to stay at work rather than providing for their recovery. </w:t>
      </w:r>
    </w:p>
    <w:p w:rsidR="001D211C" w:rsidRDefault="001D211C" w:rsidP="00735E17">
      <w:pPr>
        <w:spacing w:line="240" w:lineRule="auto"/>
        <w:rPr>
          <w:sz w:val="24"/>
          <w:szCs w:val="24"/>
        </w:rPr>
      </w:pPr>
      <w:r>
        <w:rPr>
          <w:sz w:val="24"/>
          <w:szCs w:val="24"/>
        </w:rPr>
        <w:t xml:space="preserve">“This is the practical impact of the Government’s cost cutting of workers compensation and it is simply unsustainable. </w:t>
      </w:r>
    </w:p>
    <w:p w:rsidR="001B3267" w:rsidRPr="001B3267" w:rsidRDefault="001D211C" w:rsidP="00735E17">
      <w:pPr>
        <w:spacing w:line="240" w:lineRule="auto"/>
        <w:rPr>
          <w:sz w:val="24"/>
          <w:szCs w:val="24"/>
        </w:rPr>
      </w:pPr>
      <w:r>
        <w:rPr>
          <w:sz w:val="24"/>
          <w:szCs w:val="24"/>
        </w:rPr>
        <w:t xml:space="preserve">“We call on the </w:t>
      </w:r>
      <w:r w:rsidR="001A5B4A">
        <w:rPr>
          <w:sz w:val="24"/>
          <w:szCs w:val="24"/>
        </w:rPr>
        <w:t>Police Minister</w:t>
      </w:r>
      <w:bookmarkStart w:id="0" w:name="_GoBack"/>
      <w:bookmarkEnd w:id="0"/>
      <w:r>
        <w:rPr>
          <w:sz w:val="24"/>
          <w:szCs w:val="24"/>
        </w:rPr>
        <w:t xml:space="preserve"> to urgently revi</w:t>
      </w:r>
      <w:r w:rsidR="003E5217">
        <w:rPr>
          <w:sz w:val="24"/>
          <w:szCs w:val="24"/>
        </w:rPr>
        <w:t>ew these figures, and commit to restoring workers compensation rights in NSW for all workers”</w:t>
      </w:r>
      <w:r w:rsidR="00ED0A02">
        <w:rPr>
          <w:sz w:val="24"/>
          <w:szCs w:val="24"/>
        </w:rPr>
        <w:t>, Mr Shoebridge said.</w:t>
      </w:r>
    </w:p>
    <w:p w:rsidR="00A50364" w:rsidRDefault="001E6B74" w:rsidP="00B56619">
      <w:pPr>
        <w:spacing w:after="0" w:line="240" w:lineRule="auto"/>
        <w:rPr>
          <w:sz w:val="24"/>
          <w:szCs w:val="24"/>
        </w:rPr>
      </w:pPr>
      <w:r w:rsidRPr="001B3267">
        <w:rPr>
          <w:sz w:val="24"/>
          <w:szCs w:val="24"/>
        </w:rPr>
        <w:t>Media contact: 9230 3030</w:t>
      </w:r>
    </w:p>
    <w:p w:rsidR="003E5217" w:rsidRDefault="003E5217" w:rsidP="00B56619">
      <w:pPr>
        <w:spacing w:after="0" w:line="240" w:lineRule="auto"/>
        <w:rPr>
          <w:sz w:val="24"/>
          <w:szCs w:val="24"/>
        </w:rPr>
      </w:pPr>
    </w:p>
    <w:p w:rsidR="003E5217" w:rsidRPr="00B56619" w:rsidRDefault="003E5217" w:rsidP="00B56619">
      <w:pPr>
        <w:spacing w:after="0" w:line="240" w:lineRule="auto"/>
        <w:rPr>
          <w:sz w:val="24"/>
          <w:szCs w:val="24"/>
        </w:rPr>
      </w:pPr>
    </w:p>
    <w:sectPr w:rsidR="003E5217" w:rsidRPr="00B56619" w:rsidSect="00EF3014">
      <w:headerReference w:type="even" r:id="rId8"/>
      <w:headerReference w:type="default" r:id="rId9"/>
      <w:footerReference w:type="even" r:id="rId10"/>
      <w:footerReference w:type="default" r:id="rId11"/>
      <w:headerReference w:type="first" r:id="rId12"/>
      <w:footerReference w:type="first" r:id="rId13"/>
      <w:pgSz w:w="11906" w:h="16838" w:code="9"/>
      <w:pgMar w:top="2410" w:right="1134" w:bottom="1134" w:left="1134" w:header="993" w:footer="709" w:gutter="0"/>
      <w:paperSrc w:first="7" w:other="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2CCE" w:rsidRDefault="007B2CCE" w:rsidP="00254805">
      <w:pPr>
        <w:spacing w:after="0" w:line="240" w:lineRule="auto"/>
      </w:pPr>
      <w:r>
        <w:separator/>
      </w:r>
    </w:p>
  </w:endnote>
  <w:endnote w:type="continuationSeparator" w:id="0">
    <w:p w:rsidR="007B2CCE" w:rsidRDefault="007B2CCE" w:rsidP="002548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E82" w:rsidRDefault="00A06E8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95219"/>
      <w:docPartObj>
        <w:docPartGallery w:val="Page Numbers (Bottom of Page)"/>
        <w:docPartUnique/>
      </w:docPartObj>
    </w:sdtPr>
    <w:sdtEndPr>
      <w:rPr>
        <w:b/>
      </w:rPr>
    </w:sdtEndPr>
    <w:sdtContent>
      <w:p w:rsidR="001D211C" w:rsidRDefault="00BC6771">
        <w:pPr>
          <w:pStyle w:val="Footer"/>
          <w:pBdr>
            <w:top w:val="single" w:sz="4" w:space="1" w:color="D9D9D9" w:themeColor="background1" w:themeShade="D9"/>
          </w:pBdr>
          <w:rPr>
            <w:b/>
          </w:rPr>
        </w:pPr>
        <w:r w:rsidRPr="00BC6771">
          <w:fldChar w:fldCharType="begin"/>
        </w:r>
        <w:r w:rsidR="001D211C">
          <w:instrText xml:space="preserve"> PAGE   \* MERGEFORMAT </w:instrText>
        </w:r>
        <w:r w:rsidRPr="00BC6771">
          <w:fldChar w:fldCharType="separate"/>
        </w:r>
        <w:r w:rsidR="000B774E" w:rsidRPr="000B774E">
          <w:rPr>
            <w:b/>
            <w:noProof/>
          </w:rPr>
          <w:t>3</w:t>
        </w:r>
        <w:r>
          <w:rPr>
            <w:b/>
            <w:noProof/>
          </w:rPr>
          <w:fldChar w:fldCharType="end"/>
        </w:r>
        <w:r w:rsidR="001D211C">
          <w:rPr>
            <w:b/>
          </w:rPr>
          <w:t xml:space="preserve"> | </w:t>
        </w:r>
        <w:r w:rsidR="001D211C">
          <w:rPr>
            <w:color w:val="7F7F7F" w:themeColor="background1" w:themeShade="7F"/>
            <w:spacing w:val="60"/>
          </w:rPr>
          <w:t>Page</w:t>
        </w:r>
      </w:p>
    </w:sdtContent>
  </w:sdt>
  <w:p w:rsidR="001D211C" w:rsidRDefault="001D211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E82" w:rsidRDefault="00A06E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2CCE" w:rsidRDefault="007B2CCE" w:rsidP="00254805">
      <w:pPr>
        <w:spacing w:after="0" w:line="240" w:lineRule="auto"/>
      </w:pPr>
      <w:r>
        <w:separator/>
      </w:r>
    </w:p>
  </w:footnote>
  <w:footnote w:type="continuationSeparator" w:id="0">
    <w:p w:rsidR="007B2CCE" w:rsidRDefault="007B2CCE" w:rsidP="00254805">
      <w:pPr>
        <w:spacing w:after="0" w:line="240" w:lineRule="auto"/>
      </w:pPr>
      <w:r>
        <w:continuationSeparator/>
      </w:r>
    </w:p>
  </w:footnote>
  <w:footnote w:id="1">
    <w:p w:rsidR="003E5217" w:rsidRDefault="003E5217">
      <w:pPr>
        <w:pStyle w:val="FootnoteText"/>
      </w:pPr>
      <w:r>
        <w:rPr>
          <w:rStyle w:val="FootnoteReference"/>
        </w:rPr>
        <w:footnoteRef/>
      </w:r>
      <w:r>
        <w:t xml:space="preserve"> </w:t>
      </w:r>
      <w:hyperlink r:id="rId1" w:history="1">
        <w:r>
          <w:rPr>
            <w:rStyle w:val="Hyperlink"/>
          </w:rPr>
          <w:t>http://www.safeworkaustralia.gov.au/sites/SWA/about/Publications/Documents/769/The-Incidence-Accepted-WC-Claims-Mental-Stress-Australia.pdf</w:t>
        </w:r>
      </w:hyperlink>
      <w:r>
        <w:t xml:space="preserve"> page 1</w:t>
      </w:r>
    </w:p>
  </w:footnote>
  <w:footnote w:id="2">
    <w:p w:rsidR="001D211C" w:rsidRDefault="001D211C">
      <w:pPr>
        <w:pStyle w:val="FootnoteText"/>
      </w:pPr>
      <w:r>
        <w:rPr>
          <w:rStyle w:val="FootnoteReference"/>
        </w:rPr>
        <w:footnoteRef/>
      </w:r>
      <w:r>
        <w:t xml:space="preserve"> </w:t>
      </w:r>
      <w:hyperlink r:id="rId2" w:history="1">
        <w:r>
          <w:rPr>
            <w:rStyle w:val="Hyperlink"/>
          </w:rPr>
          <w:t>http://www.safeworkaustralia.gov.au/sites/SWA/about/Publications/Documents/769/The-Incidence-Accepted-WC-Claims-Mental-Stress-Australia.pdf</w:t>
        </w:r>
      </w:hyperlink>
      <w:r>
        <w:t xml:space="preserve"> page 1</w:t>
      </w:r>
    </w:p>
  </w:footnote>
  <w:footnote w:id="3">
    <w:p w:rsidR="001D211C" w:rsidRDefault="001D211C">
      <w:pPr>
        <w:pStyle w:val="FootnoteText"/>
      </w:pPr>
      <w:r>
        <w:rPr>
          <w:rStyle w:val="FootnoteReference"/>
        </w:rPr>
        <w:footnoteRef/>
      </w:r>
      <w:r>
        <w:t xml:space="preserve"> </w:t>
      </w:r>
      <w:hyperlink r:id="rId3" w:history="1">
        <w:r>
          <w:rPr>
            <w:rStyle w:val="Hyperlink"/>
          </w:rPr>
          <w:t>http://www.safeworkaustralia.gov.au/sites/SWA/about/Publications/Documents/769/The-Incidence-Accepted-WC-Claims-Mental-Stress-Australia.pdf</w:t>
        </w:r>
      </w:hyperlink>
      <w:r>
        <w:t xml:space="preserve"> page 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E82" w:rsidRDefault="00A06E8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11C" w:rsidRPr="00254805" w:rsidRDefault="00BC6771" w:rsidP="00254805">
    <w:pPr>
      <w:pStyle w:val="Header"/>
      <w:jc w:val="right"/>
      <w:rPr>
        <w:b/>
        <w:sz w:val="28"/>
      </w:rPr>
    </w:pPr>
    <w:sdt>
      <w:sdtPr>
        <w:rPr>
          <w:b/>
          <w:sz w:val="28"/>
        </w:rPr>
        <w:id w:val="744223414"/>
        <w:docPartObj>
          <w:docPartGallery w:val="Watermarks"/>
          <w:docPartUnique/>
        </w:docPartObj>
      </w:sdtPr>
      <w:sdtContent>
        <w:r w:rsidRPr="00BC6771">
          <w:rPr>
            <w:b/>
            <w:noProof/>
            <w:sz w:val="28"/>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6385"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1D211C">
      <w:rPr>
        <w:b/>
        <w:noProof/>
        <w:sz w:val="28"/>
      </w:rPr>
      <w:drawing>
        <wp:anchor distT="0" distB="0" distL="114300" distR="114300" simplePos="0" relativeHeight="251657216" behindDoc="1" locked="0" layoutInCell="1" allowOverlap="1">
          <wp:simplePos x="0" y="0"/>
          <wp:positionH relativeFrom="column">
            <wp:posOffset>-622212</wp:posOffset>
          </wp:positionH>
          <wp:positionV relativeFrom="paragraph">
            <wp:posOffset>-346775</wp:posOffset>
          </wp:positionV>
          <wp:extent cx="6097970" cy="993227"/>
          <wp:effectExtent l="19050" t="0" r="0" b="0"/>
          <wp:wrapNone/>
          <wp:docPr id="1" name="Picture 1" descr="I:\MLC Shoebridge\Images\Headers\DavidS_Follower_Header_27Jun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LC Shoebridge\Images\Headers\DavidS_Follower_Header_27Jun11.jpg"/>
                  <pic:cNvPicPr>
                    <a:picLocks noChangeAspect="1" noChangeArrowheads="1"/>
                  </pic:cNvPicPr>
                </pic:nvPicPr>
                <pic:blipFill>
                  <a:blip r:embed="rId1"/>
                  <a:srcRect/>
                  <a:stretch>
                    <a:fillRect/>
                  </a:stretch>
                </pic:blipFill>
                <pic:spPr bwMode="auto">
                  <a:xfrm>
                    <a:off x="0" y="0"/>
                    <a:ext cx="6097970" cy="993227"/>
                  </a:xfrm>
                  <a:prstGeom prst="rect">
                    <a:avLst/>
                  </a:prstGeom>
                  <a:noFill/>
                  <a:ln w="9525">
                    <a:noFill/>
                    <a:miter lim="800000"/>
                    <a:headEnd/>
                    <a:tailEnd/>
                  </a:ln>
                </pic:spPr>
              </pic:pic>
            </a:graphicData>
          </a:graphic>
        </wp:anchor>
      </w:drawing>
    </w:r>
    <w:r w:rsidR="001D211C" w:rsidRPr="00254805">
      <w:rPr>
        <w:b/>
        <w:sz w:val="28"/>
      </w:rPr>
      <w:t>David Shoebridge MLC</w:t>
    </w:r>
  </w:p>
  <w:p w:rsidR="001D211C" w:rsidRPr="00254805" w:rsidRDefault="001D211C" w:rsidP="00254805">
    <w:pPr>
      <w:pStyle w:val="Header"/>
      <w:jc w:val="right"/>
      <w:rPr>
        <w:b/>
        <w:sz w:val="28"/>
      </w:rPr>
    </w:pPr>
    <w:r>
      <w:rPr>
        <w:b/>
        <w:sz w:val="28"/>
      </w:rPr>
      <w:t>Media brief</w:t>
    </w:r>
  </w:p>
  <w:p w:rsidR="001D211C" w:rsidRPr="00254805" w:rsidRDefault="001D211C" w:rsidP="0049452D">
    <w:pPr>
      <w:pStyle w:val="Header"/>
      <w:jc w:val="right"/>
      <w:rPr>
        <w:b/>
        <w:sz w:val="28"/>
      </w:rPr>
    </w:pPr>
    <w:r>
      <w:rPr>
        <w:b/>
        <w:sz w:val="28"/>
      </w:rPr>
      <w:t>9 January 2014</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E82" w:rsidRDefault="00A06E8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F0113A"/>
    <w:multiLevelType w:val="hybridMultilevel"/>
    <w:tmpl w:val="C8F852EA"/>
    <w:lvl w:ilvl="0" w:tplc="5BA43CA4">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4AC66104"/>
    <w:multiLevelType w:val="hybridMultilevel"/>
    <w:tmpl w:val="EB4EB338"/>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4F1B742A"/>
    <w:multiLevelType w:val="hybridMultilevel"/>
    <w:tmpl w:val="67627A62"/>
    <w:lvl w:ilvl="0" w:tplc="B868023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5EF05C4D"/>
    <w:multiLevelType w:val="hybridMultilevel"/>
    <w:tmpl w:val="C21C5856"/>
    <w:lvl w:ilvl="0" w:tplc="481CB844">
      <w:start w:val="2010"/>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75C02615"/>
    <w:multiLevelType w:val="hybridMultilevel"/>
    <w:tmpl w:val="94AE56A4"/>
    <w:lvl w:ilvl="0" w:tplc="1D2C68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18434"/>
    <o:shapelayout v:ext="edit">
      <o:idmap v:ext="edit" data="16"/>
    </o:shapelayout>
  </w:hdrShapeDefaults>
  <w:footnotePr>
    <w:footnote w:id="-1"/>
    <w:footnote w:id="0"/>
  </w:footnotePr>
  <w:endnotePr>
    <w:endnote w:id="-1"/>
    <w:endnote w:id="0"/>
  </w:endnotePr>
  <w:compat>
    <w:useFELayout/>
  </w:compat>
  <w:rsids>
    <w:rsidRoot w:val="00A50364"/>
    <w:rsid w:val="00020C1F"/>
    <w:rsid w:val="00085900"/>
    <w:rsid w:val="00093E55"/>
    <w:rsid w:val="000A38D0"/>
    <w:rsid w:val="000B774E"/>
    <w:rsid w:val="00131FA4"/>
    <w:rsid w:val="00137300"/>
    <w:rsid w:val="00162388"/>
    <w:rsid w:val="00190F43"/>
    <w:rsid w:val="001A5B4A"/>
    <w:rsid w:val="001B3267"/>
    <w:rsid w:val="001D211C"/>
    <w:rsid w:val="001E6720"/>
    <w:rsid w:val="001E6B74"/>
    <w:rsid w:val="00215034"/>
    <w:rsid w:val="00241D94"/>
    <w:rsid w:val="002521F9"/>
    <w:rsid w:val="00254805"/>
    <w:rsid w:val="002A5CE4"/>
    <w:rsid w:val="002B5420"/>
    <w:rsid w:val="002D08CD"/>
    <w:rsid w:val="002E4AAA"/>
    <w:rsid w:val="003327A1"/>
    <w:rsid w:val="00357FA9"/>
    <w:rsid w:val="00381E67"/>
    <w:rsid w:val="00386DE9"/>
    <w:rsid w:val="003A5FBE"/>
    <w:rsid w:val="003C1196"/>
    <w:rsid w:val="003E5217"/>
    <w:rsid w:val="003F2EEC"/>
    <w:rsid w:val="004048FC"/>
    <w:rsid w:val="00433B4B"/>
    <w:rsid w:val="0049452D"/>
    <w:rsid w:val="004A1029"/>
    <w:rsid w:val="004E5033"/>
    <w:rsid w:val="0050123D"/>
    <w:rsid w:val="00517467"/>
    <w:rsid w:val="005369B3"/>
    <w:rsid w:val="005371BD"/>
    <w:rsid w:val="00540852"/>
    <w:rsid w:val="0055253E"/>
    <w:rsid w:val="00583AA2"/>
    <w:rsid w:val="005C5F33"/>
    <w:rsid w:val="0060552A"/>
    <w:rsid w:val="006A5CF7"/>
    <w:rsid w:val="006F53E3"/>
    <w:rsid w:val="00705DD7"/>
    <w:rsid w:val="00735E17"/>
    <w:rsid w:val="007838CC"/>
    <w:rsid w:val="00792942"/>
    <w:rsid w:val="007B2CCE"/>
    <w:rsid w:val="007B7C68"/>
    <w:rsid w:val="007D4AFC"/>
    <w:rsid w:val="008106E3"/>
    <w:rsid w:val="00825885"/>
    <w:rsid w:val="0083789E"/>
    <w:rsid w:val="008859F8"/>
    <w:rsid w:val="0097538F"/>
    <w:rsid w:val="00992674"/>
    <w:rsid w:val="009A7A4F"/>
    <w:rsid w:val="009B0E01"/>
    <w:rsid w:val="009F06E0"/>
    <w:rsid w:val="00A064CF"/>
    <w:rsid w:val="00A06E82"/>
    <w:rsid w:val="00A110A4"/>
    <w:rsid w:val="00A22B4F"/>
    <w:rsid w:val="00A27776"/>
    <w:rsid w:val="00A50364"/>
    <w:rsid w:val="00B56619"/>
    <w:rsid w:val="00B715F7"/>
    <w:rsid w:val="00BB0F9A"/>
    <w:rsid w:val="00BC6771"/>
    <w:rsid w:val="00BE0273"/>
    <w:rsid w:val="00BE42CF"/>
    <w:rsid w:val="00C3062C"/>
    <w:rsid w:val="00C36A9C"/>
    <w:rsid w:val="00C4717D"/>
    <w:rsid w:val="00D33E4A"/>
    <w:rsid w:val="00DA35B5"/>
    <w:rsid w:val="00DC311A"/>
    <w:rsid w:val="00DD172B"/>
    <w:rsid w:val="00E2159F"/>
    <w:rsid w:val="00E37A6D"/>
    <w:rsid w:val="00E57F81"/>
    <w:rsid w:val="00EC69E4"/>
    <w:rsid w:val="00ED0A02"/>
    <w:rsid w:val="00EF3014"/>
    <w:rsid w:val="00F663B9"/>
    <w:rsid w:val="00F8665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771"/>
  </w:style>
  <w:style w:type="paragraph" w:styleId="Heading1">
    <w:name w:val="heading 1"/>
    <w:basedOn w:val="Normal"/>
    <w:next w:val="Normal"/>
    <w:link w:val="Heading1Char"/>
    <w:uiPriority w:val="9"/>
    <w:qFormat/>
    <w:rsid w:val="005012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48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4805"/>
    <w:rPr>
      <w:rFonts w:ascii="Tahoma" w:hAnsi="Tahoma" w:cs="Tahoma"/>
      <w:sz w:val="16"/>
      <w:szCs w:val="16"/>
    </w:rPr>
  </w:style>
  <w:style w:type="paragraph" w:styleId="Header">
    <w:name w:val="header"/>
    <w:basedOn w:val="Normal"/>
    <w:link w:val="HeaderChar"/>
    <w:uiPriority w:val="99"/>
    <w:unhideWhenUsed/>
    <w:rsid w:val="002548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4805"/>
  </w:style>
  <w:style w:type="paragraph" w:styleId="Footer">
    <w:name w:val="footer"/>
    <w:basedOn w:val="Normal"/>
    <w:link w:val="FooterChar"/>
    <w:uiPriority w:val="99"/>
    <w:unhideWhenUsed/>
    <w:rsid w:val="002548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4805"/>
  </w:style>
  <w:style w:type="character" w:customStyle="1" w:styleId="Heading1Char">
    <w:name w:val="Heading 1 Char"/>
    <w:basedOn w:val="DefaultParagraphFont"/>
    <w:link w:val="Heading1"/>
    <w:uiPriority w:val="9"/>
    <w:rsid w:val="0050123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EC69E4"/>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9F06E0"/>
    <w:rPr>
      <w:color w:val="0000FF" w:themeColor="hyperlink"/>
      <w:u w:val="single"/>
    </w:rPr>
  </w:style>
  <w:style w:type="paragraph" w:styleId="ListParagraph">
    <w:name w:val="List Paragraph"/>
    <w:basedOn w:val="Normal"/>
    <w:uiPriority w:val="34"/>
    <w:qFormat/>
    <w:rsid w:val="006F53E3"/>
    <w:pPr>
      <w:ind w:left="720"/>
      <w:contextualSpacing/>
    </w:pPr>
  </w:style>
  <w:style w:type="character" w:customStyle="1" w:styleId="apple-converted-space">
    <w:name w:val="apple-converted-space"/>
    <w:basedOn w:val="DefaultParagraphFont"/>
    <w:rsid w:val="00B715F7"/>
  </w:style>
  <w:style w:type="paragraph" w:styleId="FootnoteText">
    <w:name w:val="footnote text"/>
    <w:basedOn w:val="Normal"/>
    <w:link w:val="FootnoteTextChar"/>
    <w:uiPriority w:val="99"/>
    <w:semiHidden/>
    <w:unhideWhenUsed/>
    <w:rsid w:val="00B715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15F7"/>
    <w:rPr>
      <w:sz w:val="20"/>
      <w:szCs w:val="20"/>
    </w:rPr>
  </w:style>
  <w:style w:type="character" w:styleId="FootnoteReference">
    <w:name w:val="footnote reference"/>
    <w:basedOn w:val="DefaultParagraphFont"/>
    <w:uiPriority w:val="99"/>
    <w:semiHidden/>
    <w:unhideWhenUsed/>
    <w:rsid w:val="00B715F7"/>
    <w:rPr>
      <w:vertAlign w:val="superscript"/>
    </w:rPr>
  </w:style>
  <w:style w:type="character" w:styleId="FollowedHyperlink">
    <w:name w:val="FollowedHyperlink"/>
    <w:basedOn w:val="DefaultParagraphFont"/>
    <w:uiPriority w:val="99"/>
    <w:semiHidden/>
    <w:unhideWhenUsed/>
    <w:rsid w:val="00E57F81"/>
    <w:rPr>
      <w:color w:val="800080" w:themeColor="followedHyperlink"/>
      <w:u w:val="single"/>
    </w:rPr>
  </w:style>
  <w:style w:type="paragraph" w:styleId="NormalWeb">
    <w:name w:val="Normal (Web)"/>
    <w:basedOn w:val="Normal"/>
    <w:uiPriority w:val="99"/>
    <w:unhideWhenUsed/>
    <w:rsid w:val="003A5FBE"/>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4A102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A1029"/>
    <w:rPr>
      <w:sz w:val="20"/>
      <w:szCs w:val="20"/>
    </w:rPr>
  </w:style>
  <w:style w:type="character" w:styleId="EndnoteReference">
    <w:name w:val="endnote reference"/>
    <w:basedOn w:val="DefaultParagraphFont"/>
    <w:uiPriority w:val="99"/>
    <w:semiHidden/>
    <w:unhideWhenUsed/>
    <w:rsid w:val="004A102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012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48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4805"/>
    <w:rPr>
      <w:rFonts w:ascii="Tahoma" w:hAnsi="Tahoma" w:cs="Tahoma"/>
      <w:sz w:val="16"/>
      <w:szCs w:val="16"/>
    </w:rPr>
  </w:style>
  <w:style w:type="paragraph" w:styleId="Header">
    <w:name w:val="header"/>
    <w:basedOn w:val="Normal"/>
    <w:link w:val="HeaderChar"/>
    <w:uiPriority w:val="99"/>
    <w:unhideWhenUsed/>
    <w:rsid w:val="002548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4805"/>
  </w:style>
  <w:style w:type="paragraph" w:styleId="Footer">
    <w:name w:val="footer"/>
    <w:basedOn w:val="Normal"/>
    <w:link w:val="FooterChar"/>
    <w:uiPriority w:val="99"/>
    <w:unhideWhenUsed/>
    <w:rsid w:val="002548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4805"/>
  </w:style>
  <w:style w:type="character" w:customStyle="1" w:styleId="Heading1Char">
    <w:name w:val="Heading 1 Char"/>
    <w:basedOn w:val="DefaultParagraphFont"/>
    <w:link w:val="Heading1"/>
    <w:uiPriority w:val="9"/>
    <w:rsid w:val="0050123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EC69E4"/>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9F06E0"/>
    <w:rPr>
      <w:color w:val="0000FF" w:themeColor="hyperlink"/>
      <w:u w:val="single"/>
    </w:rPr>
  </w:style>
  <w:style w:type="paragraph" w:styleId="ListParagraph">
    <w:name w:val="List Paragraph"/>
    <w:basedOn w:val="Normal"/>
    <w:uiPriority w:val="34"/>
    <w:qFormat/>
    <w:rsid w:val="006F53E3"/>
    <w:pPr>
      <w:ind w:left="720"/>
      <w:contextualSpacing/>
    </w:pPr>
  </w:style>
  <w:style w:type="character" w:customStyle="1" w:styleId="apple-converted-space">
    <w:name w:val="apple-converted-space"/>
    <w:basedOn w:val="DefaultParagraphFont"/>
    <w:rsid w:val="00B715F7"/>
  </w:style>
  <w:style w:type="paragraph" w:styleId="FootnoteText">
    <w:name w:val="footnote text"/>
    <w:basedOn w:val="Normal"/>
    <w:link w:val="FootnoteTextChar"/>
    <w:uiPriority w:val="99"/>
    <w:semiHidden/>
    <w:unhideWhenUsed/>
    <w:rsid w:val="00B715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15F7"/>
    <w:rPr>
      <w:sz w:val="20"/>
      <w:szCs w:val="20"/>
    </w:rPr>
  </w:style>
  <w:style w:type="character" w:styleId="FootnoteReference">
    <w:name w:val="footnote reference"/>
    <w:basedOn w:val="DefaultParagraphFont"/>
    <w:uiPriority w:val="99"/>
    <w:semiHidden/>
    <w:unhideWhenUsed/>
    <w:rsid w:val="00B715F7"/>
    <w:rPr>
      <w:vertAlign w:val="superscript"/>
    </w:rPr>
  </w:style>
  <w:style w:type="character" w:styleId="FollowedHyperlink">
    <w:name w:val="FollowedHyperlink"/>
    <w:basedOn w:val="DefaultParagraphFont"/>
    <w:uiPriority w:val="99"/>
    <w:semiHidden/>
    <w:unhideWhenUsed/>
    <w:rsid w:val="00E57F81"/>
    <w:rPr>
      <w:color w:val="800080" w:themeColor="followedHyperlink"/>
      <w:u w:val="single"/>
    </w:rPr>
  </w:style>
  <w:style w:type="paragraph" w:styleId="NormalWeb">
    <w:name w:val="Normal (Web)"/>
    <w:basedOn w:val="Normal"/>
    <w:uiPriority w:val="99"/>
    <w:unhideWhenUsed/>
    <w:rsid w:val="003A5FBE"/>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4A102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A1029"/>
    <w:rPr>
      <w:sz w:val="20"/>
      <w:szCs w:val="20"/>
    </w:rPr>
  </w:style>
  <w:style w:type="character" w:styleId="EndnoteReference">
    <w:name w:val="endnote reference"/>
    <w:basedOn w:val="DefaultParagraphFont"/>
    <w:uiPriority w:val="99"/>
    <w:semiHidden/>
    <w:unhideWhenUsed/>
    <w:rsid w:val="004A1029"/>
    <w:rPr>
      <w:vertAlign w:val="superscript"/>
    </w:rPr>
  </w:style>
</w:styles>
</file>

<file path=word/webSettings.xml><?xml version="1.0" encoding="utf-8"?>
<w:webSettings xmlns:r="http://schemas.openxmlformats.org/officeDocument/2006/relationships" xmlns:w="http://schemas.openxmlformats.org/wordprocessingml/2006/main">
  <w:divs>
    <w:div w:id="354843640">
      <w:bodyDiv w:val="1"/>
      <w:marLeft w:val="0"/>
      <w:marRight w:val="0"/>
      <w:marTop w:val="0"/>
      <w:marBottom w:val="0"/>
      <w:divBdr>
        <w:top w:val="none" w:sz="0" w:space="0" w:color="auto"/>
        <w:left w:val="none" w:sz="0" w:space="0" w:color="auto"/>
        <w:bottom w:val="none" w:sz="0" w:space="0" w:color="auto"/>
        <w:right w:val="none" w:sz="0" w:space="0" w:color="auto"/>
      </w:divBdr>
    </w:div>
    <w:div w:id="1025133207">
      <w:bodyDiv w:val="1"/>
      <w:marLeft w:val="0"/>
      <w:marRight w:val="0"/>
      <w:marTop w:val="0"/>
      <w:marBottom w:val="0"/>
      <w:divBdr>
        <w:top w:val="none" w:sz="0" w:space="0" w:color="auto"/>
        <w:left w:val="none" w:sz="0" w:space="0" w:color="auto"/>
        <w:bottom w:val="none" w:sz="0" w:space="0" w:color="auto"/>
        <w:right w:val="none" w:sz="0" w:space="0" w:color="auto"/>
      </w:divBdr>
    </w:div>
    <w:div w:id="1104764957">
      <w:bodyDiv w:val="1"/>
      <w:marLeft w:val="0"/>
      <w:marRight w:val="0"/>
      <w:marTop w:val="0"/>
      <w:marBottom w:val="0"/>
      <w:divBdr>
        <w:top w:val="none" w:sz="0" w:space="0" w:color="auto"/>
        <w:left w:val="none" w:sz="0" w:space="0" w:color="auto"/>
        <w:bottom w:val="none" w:sz="0" w:space="0" w:color="auto"/>
        <w:right w:val="none" w:sz="0" w:space="0" w:color="auto"/>
      </w:divBdr>
    </w:div>
    <w:div w:id="1508326130">
      <w:bodyDiv w:val="1"/>
      <w:marLeft w:val="0"/>
      <w:marRight w:val="0"/>
      <w:marTop w:val="0"/>
      <w:marBottom w:val="0"/>
      <w:divBdr>
        <w:top w:val="none" w:sz="0" w:space="0" w:color="auto"/>
        <w:left w:val="none" w:sz="0" w:space="0" w:color="auto"/>
        <w:bottom w:val="none" w:sz="0" w:space="0" w:color="auto"/>
        <w:right w:val="none" w:sz="0" w:space="0" w:color="auto"/>
      </w:divBdr>
    </w:div>
    <w:div w:id="1543832457">
      <w:bodyDiv w:val="1"/>
      <w:marLeft w:val="0"/>
      <w:marRight w:val="0"/>
      <w:marTop w:val="0"/>
      <w:marBottom w:val="0"/>
      <w:divBdr>
        <w:top w:val="none" w:sz="0" w:space="0" w:color="auto"/>
        <w:left w:val="none" w:sz="0" w:space="0" w:color="auto"/>
        <w:bottom w:val="none" w:sz="0" w:space="0" w:color="auto"/>
        <w:right w:val="none" w:sz="0" w:space="0" w:color="auto"/>
      </w:divBdr>
    </w:div>
    <w:div w:id="186135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safeworkaustralia.gov.au/sites/SWA/about/Publications/Documents/769/The-Incidence-Accepted-WC-Claims-Mental-Stress-Australia.pdf" TargetMode="External"/><Relationship Id="rId2" Type="http://schemas.openxmlformats.org/officeDocument/2006/relationships/hyperlink" Target="http://www.safeworkaustralia.gov.au/sites/SWA/about/Publications/Documents/769/The-Incidence-Accepted-WC-Claims-Mental-Stress-Australia.pdf" TargetMode="External"/><Relationship Id="rId1" Type="http://schemas.openxmlformats.org/officeDocument/2006/relationships/hyperlink" Target="http://www.safeworkaustralia.gov.au/sites/SWA/about/Publications/Documents/769/The-Incidence-Accepted-WC-Claims-Mental-Stress-Australia.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5A151-6234-46A3-B40C-3B8D80DD0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Parliament of NSW</Company>
  <LinksUpToDate>false</LinksUpToDate>
  <CharactersWithSpaces>4239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Chandi Bates</dc:creator>
  <cp:lastModifiedBy>whitfelda2v</cp:lastModifiedBy>
  <cp:revision>2</cp:revision>
  <cp:lastPrinted>2014-01-14T04:15:00Z</cp:lastPrinted>
  <dcterms:created xsi:type="dcterms:W3CDTF">2014-03-05T04:36:00Z</dcterms:created>
  <dcterms:modified xsi:type="dcterms:W3CDTF">2014-03-05T04:36:00Z</dcterms:modified>
</cp:coreProperties>
</file>