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ody>
    <w:p w:rsidR="00000000" w:rsidDel="00000000" w:rsidP="00000000" w:rsidRDefault="00000000" w:rsidRPr="00000000">
      <w:pPr>
        <w:contextualSpacing w:val="0"/>
        <w:rPr>
          <w:rFonts w:ascii="Calibri" w:cs="Calibri" w:eastAsia="Calibri" w:hAnsi="Calibri"/>
          <w:i w:val="1"/>
          <w:sz w:val="28"/>
          <w:szCs w:val="28"/>
        </w:rPr>
      </w:pPr>
      <w:r w:rsidDel="00000000" w:rsidR="00000000" w:rsidRPr="00000000">
        <w:rPr>
          <w:rFonts w:ascii="Calibri" w:cs="Calibri" w:eastAsia="Calibri" w:hAnsi="Calibri"/>
          <w:i w:val="1"/>
          <w:sz w:val="28"/>
          <w:szCs w:val="28"/>
          <w:rtl w:val="0"/>
        </w:rPr>
        <w:t xml:space="preserve">The introduction of specialist disability accommodation (SDA) funding for NDIS participants is designed to increase the supply of well-designed, fit-for-purpose accommodation for people with disability who have very high support needs. It is expected that with a combination of the right NDIS funded supports and appropriate accommodation, participant’s needs can be adequately met.</w:t>
      </w:r>
    </w:p>
    <w:p w:rsidR="00000000" w:rsidDel="00000000" w:rsidP="00000000" w:rsidRDefault="00000000" w:rsidRPr="00000000">
      <w:pPr>
        <w:contextualSpacing w:val="0"/>
        <w:rPr>
          <w:rFonts w:ascii="Calibri" w:cs="Calibri" w:eastAsia="Calibri" w:hAnsi="Calibri"/>
          <w:i w:val="1"/>
          <w:sz w:val="28"/>
          <w:szCs w:val="28"/>
        </w:rPr>
      </w:pPr>
      <w:r w:rsidDel="00000000" w:rsidR="00000000" w:rsidRPr="00000000">
        <w:rPr>
          <w:rtl w:val="0"/>
        </w:rPr>
      </w:r>
    </w:p>
    <w:p w:rsidR="00000000" w:rsidDel="00000000" w:rsidP="00000000" w:rsidRDefault="00000000" w:rsidRPr="00000000">
      <w:pPr>
        <w:contextualSpacing w:val="0"/>
        <w:rPr>
          <w:rFonts w:ascii="Calibri" w:cs="Calibri" w:eastAsia="Calibri" w:hAnsi="Calibri"/>
          <w:i w:val="1"/>
          <w:sz w:val="28"/>
          <w:szCs w:val="28"/>
        </w:rPr>
      </w:pPr>
      <w:r w:rsidDel="00000000" w:rsidR="00000000" w:rsidRPr="00000000">
        <w:rPr>
          <w:rFonts w:ascii="Calibri" w:cs="Calibri" w:eastAsia="Calibri" w:hAnsi="Calibri"/>
          <w:i w:val="1"/>
          <w:sz w:val="28"/>
          <w:szCs w:val="28"/>
          <w:rtl w:val="0"/>
        </w:rPr>
        <w:t xml:space="preserve">Under the NDIS, providers of SDA have service agreements with participants that require them to provide 90 days’ notice of any service cessation.</w:t>
      </w:r>
    </w:p>
    <w:p w:rsidR="00000000" w:rsidDel="00000000" w:rsidP="00000000" w:rsidRDefault="00000000" w:rsidRPr="00000000">
      <w:pPr>
        <w:contextualSpacing w:val="0"/>
        <w:rPr>
          <w:rFonts w:ascii="Calibri" w:cs="Calibri" w:eastAsia="Calibri" w:hAnsi="Calibri"/>
          <w:i w:val="1"/>
          <w:sz w:val="28"/>
          <w:szCs w:val="28"/>
        </w:rPr>
      </w:pPr>
      <w:r w:rsidDel="00000000" w:rsidR="00000000" w:rsidRPr="00000000">
        <w:rPr>
          <w:rtl w:val="0"/>
        </w:rPr>
      </w:r>
    </w:p>
    <w:p w:rsidR="00000000" w:rsidDel="00000000" w:rsidP="00000000" w:rsidRDefault="00000000" w:rsidRPr="00000000">
      <w:pPr>
        <w:contextualSpacing w:val="0"/>
        <w:rPr>
          <w:rFonts w:ascii="Calibri" w:cs="Calibri" w:eastAsia="Calibri" w:hAnsi="Calibri"/>
          <w:i w:val="1"/>
          <w:sz w:val="28"/>
          <w:szCs w:val="28"/>
        </w:rPr>
      </w:pPr>
      <w:r w:rsidDel="00000000" w:rsidR="00000000" w:rsidRPr="00000000">
        <w:rPr>
          <w:rFonts w:ascii="Calibri" w:cs="Calibri" w:eastAsia="Calibri" w:hAnsi="Calibri"/>
          <w:i w:val="1"/>
          <w:sz w:val="28"/>
          <w:szCs w:val="28"/>
          <w:rtl w:val="0"/>
        </w:rPr>
        <w:t xml:space="preserve">If the SDA arrangements cease, the National Disability Insurance Agency (NDIA) will work together with other service systems, and support coordinators where relevant, to ensure there are appropriate supports in place to keep both the participant and provider safe and find alternative arrangements.</w:t>
      </w:r>
    </w:p>
    <w:p w:rsidR="00000000" w:rsidDel="00000000" w:rsidP="00000000" w:rsidRDefault="00000000" w:rsidRPr="00000000">
      <w:pPr>
        <w:contextualSpacing w:val="0"/>
        <w:rPr>
          <w:rFonts w:ascii="Calibri" w:cs="Calibri" w:eastAsia="Calibri" w:hAnsi="Calibri"/>
          <w:i w:val="1"/>
          <w:sz w:val="28"/>
          <w:szCs w:val="28"/>
        </w:rPr>
      </w:pPr>
      <w:r w:rsidDel="00000000" w:rsidR="00000000" w:rsidRPr="00000000">
        <w:rPr>
          <w:rtl w:val="0"/>
        </w:rPr>
      </w:r>
    </w:p>
    <w:p w:rsidR="00000000" w:rsidDel="00000000" w:rsidP="00000000" w:rsidRDefault="00000000" w:rsidRPr="00000000">
      <w:pPr>
        <w:contextualSpacing w:val="0"/>
        <w:rPr>
          <w:rFonts w:ascii="Calibri" w:cs="Calibri" w:eastAsia="Calibri" w:hAnsi="Calibri"/>
          <w:i w:val="1"/>
          <w:sz w:val="28"/>
          <w:szCs w:val="28"/>
        </w:rPr>
      </w:pPr>
      <w:r w:rsidDel="00000000" w:rsidR="00000000" w:rsidRPr="00000000">
        <w:rPr>
          <w:rFonts w:ascii="Calibri" w:cs="Calibri" w:eastAsia="Calibri" w:hAnsi="Calibri"/>
          <w:i w:val="1"/>
          <w:sz w:val="28"/>
          <w:szCs w:val="28"/>
          <w:rtl w:val="0"/>
        </w:rPr>
        <w:t xml:space="preserve">During the transition to the NDIS, bilateral agreements between the Commonwealth, state and territory governments have been signed to ensure that there is a joint approach to resolving any such issues.</w:t>
      </w:r>
    </w:p>
    <w:p w:rsidR="00000000" w:rsidDel="00000000" w:rsidP="00000000" w:rsidRDefault="00000000" w:rsidRPr="00000000">
      <w:pPr>
        <w:contextualSpacing w:val="0"/>
        <w:rPr>
          <w:rFonts w:ascii="Calibri" w:cs="Calibri" w:eastAsia="Calibri" w:hAnsi="Calibri"/>
          <w:i w:val="1"/>
          <w:sz w:val="28"/>
          <w:szCs w:val="28"/>
        </w:rPr>
      </w:pPr>
      <w:r w:rsidDel="00000000" w:rsidR="00000000" w:rsidRPr="00000000">
        <w:rPr>
          <w:rtl w:val="0"/>
        </w:rPr>
      </w:r>
    </w:p>
    <w:p w:rsidR="00000000" w:rsidDel="00000000" w:rsidP="00000000" w:rsidRDefault="00000000" w:rsidRPr="00000000">
      <w:pPr>
        <w:contextualSpacing w:val="0"/>
        <w:rPr>
          <w:rFonts w:ascii="Calibri" w:cs="Calibri" w:eastAsia="Calibri" w:hAnsi="Calibri"/>
          <w:i w:val="1"/>
          <w:sz w:val="28"/>
          <w:szCs w:val="28"/>
        </w:rPr>
      </w:pPr>
      <w:r w:rsidDel="00000000" w:rsidR="00000000" w:rsidRPr="00000000">
        <w:rPr>
          <w:rFonts w:ascii="Calibri" w:cs="Calibri" w:eastAsia="Calibri" w:hAnsi="Calibri"/>
          <w:i w:val="1"/>
          <w:sz w:val="28"/>
          <w:szCs w:val="28"/>
          <w:rtl w:val="0"/>
        </w:rPr>
        <w:t xml:space="preserve">The NDIA is prepared to act to reinforce thin markets where intervention is necessary to ensure market supply, and to act as a provider of last resort where the market fails to provide this supply.</w:t>
      </w:r>
    </w:p>
    <w:p w:rsidR="00000000" w:rsidDel="00000000" w:rsidP="00000000" w:rsidRDefault="00000000" w:rsidRPr="00000000">
      <w:pPr>
        <w:contextualSpacing w:val="0"/>
        <w:rPr>
          <w:rFonts w:ascii="Calibri" w:cs="Calibri" w:eastAsia="Calibri" w:hAnsi="Calibri"/>
          <w:i w:val="1"/>
          <w:sz w:val="28"/>
          <w:szCs w:val="28"/>
        </w:rPr>
      </w:pPr>
      <w:r w:rsidDel="00000000" w:rsidR="00000000" w:rsidRPr="00000000">
        <w:rPr>
          <w:rtl w:val="0"/>
        </w:rPr>
      </w:r>
    </w:p>
    <w:p w:rsidR="00000000" w:rsidDel="00000000" w:rsidP="00000000" w:rsidRDefault="00000000" w:rsidRPr="00000000">
      <w:pPr>
        <w:contextualSpacing w:val="0"/>
        <w:rPr>
          <w:rFonts w:ascii="Calibri" w:cs="Calibri" w:eastAsia="Calibri" w:hAnsi="Calibri"/>
          <w:i w:val="1"/>
          <w:sz w:val="28"/>
          <w:szCs w:val="28"/>
        </w:rPr>
      </w:pPr>
      <w:r w:rsidDel="00000000" w:rsidR="00000000" w:rsidRPr="00000000">
        <w:rPr>
          <w:rFonts w:ascii="Calibri" w:cs="Calibri" w:eastAsia="Calibri" w:hAnsi="Calibri"/>
          <w:i w:val="1"/>
          <w:sz w:val="28"/>
          <w:szCs w:val="28"/>
          <w:rtl w:val="0"/>
        </w:rPr>
        <w:t xml:space="preserve">Decisions to move the provision of specialist disability housing to non-government organisations are a matter for jurisdictions.</w:t>
      </w:r>
    </w:p>
    <w:p w:rsidR="00000000" w:rsidDel="00000000" w:rsidP="00000000" w:rsidRDefault="00000000" w:rsidRPr="00000000">
      <w:pPr>
        <w:contextualSpacing w:val="0"/>
        <w:rPr>
          <w:sz w:val="28"/>
          <w:szCs w:val="28"/>
        </w:rPr>
      </w:pPr>
      <w:r w:rsidDel="00000000" w:rsidR="00000000" w:rsidRPr="00000000">
        <w:rPr>
          <w:rtl w:val="0"/>
        </w:rPr>
      </w:r>
    </w:p>
    <w:p w:rsidR="00000000" w:rsidDel="00000000" w:rsidP="00000000" w:rsidRDefault="00000000" w:rsidRPr="00000000">
      <w:pPr>
        <w:numPr>
          <w:ilvl w:val="0"/>
          <w:numId w:val="1"/>
        </w:numPr>
        <w:ind w:left="720" w:hanging="360"/>
        <w:contextualSpacing w:val="1"/>
        <w:rPr>
          <w:sz w:val="24"/>
          <w:szCs w:val="24"/>
        </w:rPr>
      </w:pPr>
      <w:r w:rsidDel="00000000" w:rsidR="00000000" w:rsidRPr="00000000">
        <w:rPr>
          <w:sz w:val="24"/>
          <w:szCs w:val="24"/>
          <w:rtl w:val="0"/>
        </w:rPr>
        <w:t xml:space="preserve">National Disability Insurance Agency Spokesperson</w:t>
      </w:r>
      <w:r w:rsidDel="00000000" w:rsidR="00000000" w:rsidRPr="00000000">
        <w:rPr>
          <w:rtl w:val="0"/>
        </w:rPr>
      </w:r>
    </w:p>
    <w:sectPr>
      <w:pgSz w:h="15840" w:w="12240"/>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vertAlign w:val="baseline"/>
        <w:lang w:val="en"/>
      </w:rPr>
    </w:rPrDefault>
    <w:pPrDefault>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contextualSpacing w:val="1"/>
    </w:pPr>
    <w:rPr>
      <w:sz w:val="40"/>
      <w:szCs w:val="40"/>
    </w:rPr>
  </w:style>
  <w:style w:type="paragraph" w:styleId="Heading2">
    <w:name w:val="heading 2"/>
    <w:basedOn w:val="Normal"/>
    <w:next w:val="Normal"/>
    <w:pPr>
      <w:keepNext w:val="1"/>
      <w:keepLines w:val="1"/>
      <w:spacing w:after="120" w:before="360" w:lineRule="auto"/>
      <w:contextualSpacing w:val="1"/>
    </w:pPr>
    <w:rPr>
      <w:b w:val="0"/>
      <w:sz w:val="32"/>
      <w:szCs w:val="32"/>
    </w:rPr>
  </w:style>
  <w:style w:type="paragraph" w:styleId="Heading3">
    <w:name w:val="heading 3"/>
    <w:basedOn w:val="Normal"/>
    <w:next w:val="Normal"/>
    <w:pPr>
      <w:keepNext w:val="1"/>
      <w:keepLines w:val="1"/>
      <w:spacing w:after="80" w:before="320" w:lineRule="auto"/>
      <w:contextualSpacing w:val="1"/>
    </w:pPr>
    <w:rPr>
      <w:b w:val="0"/>
      <w:color w:val="434343"/>
      <w:sz w:val="28"/>
      <w:szCs w:val="28"/>
    </w:rPr>
  </w:style>
  <w:style w:type="paragraph" w:styleId="Heading4">
    <w:name w:val="heading 4"/>
    <w:basedOn w:val="Normal"/>
    <w:next w:val="Normal"/>
    <w:pPr>
      <w:keepNext w:val="1"/>
      <w:keepLines w:val="1"/>
      <w:spacing w:after="80" w:before="280" w:lineRule="auto"/>
      <w:contextualSpacing w:val="1"/>
    </w:pPr>
    <w:rPr>
      <w:color w:val="666666"/>
      <w:sz w:val="24"/>
      <w:szCs w:val="24"/>
    </w:rPr>
  </w:style>
  <w:style w:type="paragraph" w:styleId="Heading5">
    <w:name w:val="heading 5"/>
    <w:basedOn w:val="Normal"/>
    <w:next w:val="Normal"/>
    <w:pPr>
      <w:keepNext w:val="1"/>
      <w:keepLines w:val="1"/>
      <w:spacing w:after="80" w:before="240" w:lineRule="auto"/>
      <w:contextualSpacing w:val="1"/>
    </w:pPr>
    <w:rPr>
      <w:color w:val="666666"/>
      <w:sz w:val="22"/>
      <w:szCs w:val="22"/>
    </w:rPr>
  </w:style>
  <w:style w:type="paragraph" w:styleId="Heading6">
    <w:name w:val="heading 6"/>
    <w:basedOn w:val="Normal"/>
    <w:next w:val="Normal"/>
    <w:pPr>
      <w:keepNext w:val="1"/>
      <w:keepLines w:val="1"/>
      <w:spacing w:after="80" w:before="240" w:lineRule="auto"/>
      <w:contextualSpacing w:val="1"/>
    </w:pPr>
    <w:rPr>
      <w:i w:val="1"/>
      <w:color w:val="666666"/>
      <w:sz w:val="22"/>
      <w:szCs w:val="22"/>
    </w:rPr>
  </w:style>
  <w:style w:type="paragraph" w:styleId="Title">
    <w:name w:val="Title"/>
    <w:basedOn w:val="Normal"/>
    <w:next w:val="Normal"/>
    <w:pPr>
      <w:keepNext w:val="1"/>
      <w:keepLines w:val="1"/>
      <w:spacing w:after="60" w:before="0" w:lineRule="auto"/>
      <w:contextualSpacing w:val="1"/>
    </w:pPr>
    <w:rPr>
      <w:sz w:val="52"/>
      <w:szCs w:val="52"/>
    </w:rPr>
  </w:style>
  <w:style w:type="paragraph" w:styleId="Subtitle">
    <w:name w:val="Subtitle"/>
    <w:basedOn w:val="Normal"/>
    <w:next w:val="Normal"/>
    <w:pPr>
      <w:keepNext w:val="1"/>
      <w:keepLines w:val="1"/>
      <w:spacing w:after="320" w:before="0" w:lineRule="auto"/>
      <w:contextualSpacing w:val="1"/>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s>
</file>