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The introduction of specialist disability accommodation (SDA) funding for NDIS participants is designed to increase the supply of well-designed, fit-for-purpose accommodation for people with disability who have very high support needs. It is expected that with a combination of the right NDIS funded supports and appropriate accommodation, participant’s needs can be adequately met.</w:t>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Under the NDIS, providers of SDA have service agreements with participants that require them to provide 90 days’ notice of any service cessation.</w:t>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If the SDA arrangements cease, the National Disability Insurance Agency (NDIA) will work together with other service systems, and support coordinators where relevant, to ensure there are appropriate supports in place to keep both the participant and provider safe and find alternative arrangements.</w:t>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During the transition to the NDIS, bilateral agreements between the Commonwealth, state and territory governments have been signed to ensure that there is a joint approach to resolving any such issues.</w:t>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The NDIA is prepared to act to reinforce thin markets where intervention is necessary to ensure market supply, and to act as a provider of last resort where the market fails to provide this supply.</w:t>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tl w:val="0"/>
        </w:rPr>
      </w:r>
    </w:p>
    <w:p w:rsidR="00000000" w:rsidDel="00000000" w:rsidP="00000000" w:rsidRDefault="00000000" w:rsidRPr="00000000">
      <w:pPr>
        <w:contextualSpacing w:val="0"/>
        <w:rPr>
          <w:rFonts w:ascii="Calibri" w:cs="Calibri" w:eastAsia="Calibri" w:hAnsi="Calibri"/>
          <w:i w:val="1"/>
          <w:sz w:val="28"/>
          <w:szCs w:val="28"/>
        </w:rPr>
      </w:pPr>
      <w:r w:rsidDel="00000000" w:rsidR="00000000" w:rsidRPr="00000000">
        <w:rPr>
          <w:rFonts w:ascii="Calibri" w:cs="Calibri" w:eastAsia="Calibri" w:hAnsi="Calibri"/>
          <w:i w:val="1"/>
          <w:sz w:val="28"/>
          <w:szCs w:val="28"/>
          <w:rtl w:val="0"/>
        </w:rPr>
        <w:t xml:space="preserve">Decisions to move the provision of specialist disability housing to non-government organisations are a matter for jurisdictions.</w:t>
      </w:r>
    </w:p>
    <w:p w:rsidR="00000000" w:rsidDel="00000000" w:rsidP="00000000" w:rsidRDefault="00000000" w:rsidRPr="00000000">
      <w:pPr>
        <w:contextualSpacing w:val="0"/>
        <w:rPr>
          <w:sz w:val="28"/>
          <w:szCs w:val="28"/>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sz w:val="24"/>
          <w:szCs w:val="24"/>
        </w:rPr>
      </w:pPr>
      <w:r w:rsidDel="00000000" w:rsidR="00000000" w:rsidRPr="00000000">
        <w:rPr>
          <w:sz w:val="24"/>
          <w:szCs w:val="24"/>
          <w:rtl w:val="0"/>
        </w:rPr>
        <w:t xml:space="preserve">National Disability Insurance Agency Spokesperson</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