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985B98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31DD0F93" w:rsidR="7D3DBE97" w:rsidRDefault="7D3DBE97" w:rsidP="00BC032B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B30B0">
                    <w:rPr>
                      <w:rFonts w:cs="Calibri"/>
                      <w:b/>
                      <w:bCs/>
                      <w:sz w:val="20"/>
                      <w:szCs w:val="20"/>
                    </w:rPr>
                    <w:t>6</w:t>
                  </w:r>
                  <w:r w:rsidR="00F131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br/>
                  </w:r>
                  <w:r w:rsidR="00F1312E">
                    <w:rPr>
                      <w:rFonts w:cs="Calibri"/>
                      <w:sz w:val="20"/>
                      <w:szCs w:val="20"/>
                    </w:rPr>
                    <w:t>19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73EBD">
                    <w:rPr>
                      <w:rFonts w:cs="Calibri"/>
                      <w:sz w:val="20"/>
                      <w:szCs w:val="20"/>
                    </w:rPr>
                    <w:t>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B7A850D" w14:textId="471A3CE1" w:rsidR="00BC032B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B03652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194A6A">
                    <w:rPr>
                      <w:rFonts w:cs="Calibri"/>
                      <w:sz w:val="17"/>
                      <w:szCs w:val="17"/>
                    </w:rPr>
                    <w:t xml:space="preserve">discuss </w:t>
                  </w:r>
                  <w:r w:rsidR="003B2ED7">
                    <w:rPr>
                      <w:rFonts w:cs="Calibri"/>
                      <w:sz w:val="17"/>
                      <w:szCs w:val="17"/>
                    </w:rPr>
                    <w:t>YouTube</w:t>
                  </w:r>
                  <w:r w:rsidR="000A1BC0">
                    <w:rPr>
                      <w:rFonts w:cs="Calibri"/>
                      <w:sz w:val="17"/>
                      <w:szCs w:val="17"/>
                    </w:rPr>
                    <w:t>’s content and how i</w:t>
                  </w:r>
                  <w:r w:rsidR="00924E73">
                    <w:rPr>
                      <w:rFonts w:cs="Calibri"/>
                      <w:sz w:val="17"/>
                      <w:szCs w:val="17"/>
                    </w:rPr>
                    <w:t xml:space="preserve">t </w:t>
                  </w:r>
                  <w:r w:rsidR="000A1BC0">
                    <w:rPr>
                      <w:rFonts w:cs="Calibri"/>
                      <w:sz w:val="17"/>
                      <w:szCs w:val="17"/>
                    </w:rPr>
                    <w:t xml:space="preserve">is expected to </w:t>
                  </w:r>
                  <w:r w:rsidR="00BC032B">
                    <w:rPr>
                      <w:rFonts w:cs="Calibri"/>
                      <w:sz w:val="17"/>
                      <w:szCs w:val="17"/>
                    </w:rPr>
                    <w:t xml:space="preserve">change with </w:t>
                  </w:r>
                  <w:r w:rsidR="00803380">
                    <w:rPr>
                      <w:rFonts w:cs="Calibri"/>
                      <w:sz w:val="17"/>
                      <w:szCs w:val="17"/>
                    </w:rPr>
                    <w:t>Australia’s social media ban</w:t>
                  </w:r>
                  <w:r w:rsidR="00BC032B">
                    <w:rPr>
                      <w:rFonts w:cs="Calibri"/>
                      <w:sz w:val="17"/>
                      <w:szCs w:val="17"/>
                    </w:rPr>
                    <w:t>.</w:t>
                  </w:r>
                  <w:r w:rsidR="00BC032B">
                    <w:rPr>
                      <w:rFonts w:cs="Calibri"/>
                      <w:sz w:val="17"/>
                      <w:szCs w:val="17"/>
                    </w:rPr>
                    <w:br/>
                  </w:r>
                </w:p>
                <w:p w14:paraId="7001FCA5" w14:textId="3D8391BB" w:rsidR="7D3DBE97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7572A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7572AE" w:rsidRPr="006C78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English – Year 7 (v8.4)</w:t>
                    </w:r>
                  </w:hyperlink>
                  <w:r w:rsidR="007572A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3" w:history="1">
                    <w:r w:rsidR="007572AE" w:rsidRPr="006C78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English – Year 7 (v9.0)</w:t>
                    </w:r>
                  </w:hyperlink>
                </w:p>
                <w:p w14:paraId="2E319291" w14:textId="3175886B" w:rsidR="00E81BB7" w:rsidRPr="00E81BB7" w:rsidRDefault="00F9672D" w:rsidP="00B03652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hyperlink r:id="rId14" w:history="1">
                    <w:r w:rsidRPr="006C78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Health and PE – Years 7 and 8 (v8.4)</w:t>
                    </w:r>
                  </w:hyperlink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5" w:history="1">
                    <w:r w:rsidRPr="00866B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Health and PE – Years 7 and 8 (v9.0)</w:t>
                    </w:r>
                  </w:hyperlink>
                  <w:r w:rsidR="00D61FF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6" w:history="1">
                    <w:r w:rsidR="00D61FF5" w:rsidRPr="00416324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Health and PE – Years 7 and 8 (v8.4)</w:t>
                    </w:r>
                  </w:hyperlink>
                  <w:r w:rsidR="00C862CD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C862CD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7" w:history="1">
                    <w:r w:rsidR="0024262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Economics and Business – Years 9 and10 (v8.4)</w:t>
                    </w:r>
                  </w:hyperlink>
                  <w:r w:rsidR="0024262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8" w:history="1">
                    <w:r w:rsidR="0024262E" w:rsidRPr="0052583D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Economics and Business – Year 8 (v9.0)</w:t>
                    </w:r>
                  </w:hyperlink>
                  <w:r w:rsidR="0052583D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9" w:history="1">
                    <w:r w:rsidR="0052583D" w:rsidRPr="00E17B34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Economics and Business – Year 9 (v8.4)</w:t>
                    </w:r>
                  </w:hyperlink>
                  <w:r w:rsidR="00E17B3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20" w:history="1">
                    <w:r w:rsidR="00E17B34" w:rsidRPr="00381E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Economics and Business </w:t>
                    </w:r>
                    <w:r w:rsidR="00381E8E" w:rsidRPr="00381E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–</w:t>
                    </w:r>
                    <w:r w:rsidR="00E17B34" w:rsidRPr="00381E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Y</w:t>
                    </w:r>
                    <w:r w:rsidR="00381E8E" w:rsidRPr="00381E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ear 9 (v9.0)</w:t>
                    </w:r>
                  </w:hyperlink>
                  <w:r w:rsidR="00E81BB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21" w:history="1">
                    <w:r w:rsidR="00E81BB7" w:rsidRPr="00E81BB7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Economics and Business – Year 10 (v8.4)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AB8E421" w:rsidR="702A280F" w:rsidRDefault="008B30B0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YouTube </w:t>
            </w:r>
            <w:r w:rsidR="00C43008">
              <w:rPr>
                <w:b/>
                <w:bCs/>
              </w:rPr>
              <w:t>Content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F05DA89" w14:textId="77777777" w:rsidR="00C43008" w:rsidRPr="00C43008" w:rsidRDefault="00C43008" w:rsidP="00902F4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right="-246" w:hanging="284"/>
              <w:rPr>
                <w:rFonts w:cstheme="minorBidi"/>
              </w:rPr>
            </w:pPr>
            <w:r w:rsidRPr="00C43008">
              <w:rPr>
                <w:rFonts w:cstheme="minorBidi"/>
              </w:rPr>
              <w:t>Do you think YouTube exposes young people to harmful content? Explain.   </w:t>
            </w:r>
          </w:p>
          <w:p w14:paraId="0F1A8F13" w14:textId="77777777" w:rsidR="00C43008" w:rsidRPr="00C43008" w:rsidRDefault="00C43008" w:rsidP="00C430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C43008">
              <w:rPr>
                <w:rFonts w:cstheme="minorBidi"/>
              </w:rPr>
              <w:t>Do you think social media companies like YouTube have a responsibility to protect young people? Why or why not?  </w:t>
            </w:r>
          </w:p>
          <w:p w14:paraId="08EF957C" w14:textId="77777777" w:rsidR="00C43008" w:rsidRPr="00C43008" w:rsidRDefault="00C43008" w:rsidP="00C430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C43008">
              <w:rPr>
                <w:rFonts w:cstheme="minorBidi"/>
              </w:rPr>
              <w:t>Should there be tighter restrictions on YouTube’s content/ads once Australia’s social media ban comes in? Provide reasons for or against.  </w:t>
            </w:r>
          </w:p>
          <w:p w14:paraId="0F433C2E" w14:textId="3AF3B40B" w:rsidR="00FC0BA0" w:rsidRPr="00924E73" w:rsidRDefault="00C43008" w:rsidP="00C430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C43008">
              <w:rPr>
                <w:rFonts w:cstheme="minorBidi"/>
              </w:rPr>
              <w:t>Will the ban affect the way you use YouTube? Explain your answer.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48FE258" w14:textId="57240111" w:rsidR="00B03652" w:rsidRPr="008A7146" w:rsidRDefault="00642D7B" w:rsidP="002E4FE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small groups, discuss the content you’ve been exposed to on YouTube and </w:t>
            </w:r>
            <w:r w:rsidR="00CA0FD7">
              <w:rPr>
                <w:rFonts w:asciiTheme="minorHAnsi" w:hAnsiTheme="minorHAnsi" w:cstheme="minorBidi"/>
              </w:rPr>
              <w:t xml:space="preserve">how </w:t>
            </w:r>
            <w:r w:rsidR="00A439E7">
              <w:rPr>
                <w:rFonts w:asciiTheme="minorHAnsi" w:hAnsiTheme="minorHAnsi" w:cstheme="minorBidi"/>
              </w:rPr>
              <w:t xml:space="preserve">you felt about seeing it. </w:t>
            </w:r>
          </w:p>
          <w:p w14:paraId="5EE766CE" w14:textId="0624609B" w:rsidR="702A280F" w:rsidRDefault="000A0B59" w:rsidP="002E4FE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Draft a letter or email to YouTube expressing </w:t>
            </w:r>
            <w:r w:rsidR="00FD0E93">
              <w:rPr>
                <w:rFonts w:asciiTheme="minorHAnsi" w:hAnsiTheme="minorHAnsi" w:cstheme="minorBidi"/>
              </w:rPr>
              <w:t xml:space="preserve">your thoughts about the content on the social media platform. Are there concerns you want to raise? </w:t>
            </w:r>
            <w:r w:rsidR="00416CB3">
              <w:rPr>
                <w:rFonts w:asciiTheme="minorHAnsi" w:hAnsiTheme="minorHAnsi" w:cstheme="minorBidi"/>
              </w:rPr>
              <w:t>What restrictions would you like to see YouTube implement when the ban comes in?</w:t>
            </w:r>
          </w:p>
          <w:p w14:paraId="55685D1E" w14:textId="4168D611" w:rsidR="00F534B3" w:rsidRPr="008A7146" w:rsidRDefault="007A4E87" w:rsidP="002E4FE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If you were in charge of Australia’s social media ban, design a business plan </w:t>
            </w:r>
            <w:r w:rsidR="00C84DC4">
              <w:rPr>
                <w:rFonts w:asciiTheme="minorHAnsi" w:hAnsiTheme="minorHAnsi" w:cstheme="minorBidi"/>
              </w:rPr>
              <w:t xml:space="preserve">showing which social media platforms would be affected and what rules and restrictions would be enforced. 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D442" w14:textId="77777777" w:rsidR="00497DAC" w:rsidRDefault="00497DAC" w:rsidP="008B0B7A">
      <w:pPr>
        <w:spacing w:after="0" w:line="240" w:lineRule="auto"/>
      </w:pPr>
      <w:r>
        <w:separator/>
      </w:r>
    </w:p>
  </w:endnote>
  <w:endnote w:type="continuationSeparator" w:id="0">
    <w:p w14:paraId="25B9320F" w14:textId="77777777" w:rsidR="00497DAC" w:rsidRDefault="00497DAC" w:rsidP="008B0B7A">
      <w:pPr>
        <w:spacing w:after="0" w:line="240" w:lineRule="auto"/>
      </w:pPr>
      <w:r>
        <w:continuationSeparator/>
      </w:r>
    </w:p>
  </w:endnote>
  <w:endnote w:type="continuationNotice" w:id="1">
    <w:p w14:paraId="50AE014F" w14:textId="77777777" w:rsidR="00497DAC" w:rsidRDefault="00497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D830" w14:textId="77777777" w:rsidR="00497DAC" w:rsidRDefault="00497DAC" w:rsidP="008B0B7A">
      <w:pPr>
        <w:spacing w:after="0" w:line="240" w:lineRule="auto"/>
      </w:pPr>
      <w:r>
        <w:separator/>
      </w:r>
    </w:p>
  </w:footnote>
  <w:footnote w:type="continuationSeparator" w:id="0">
    <w:p w14:paraId="4743DCA6" w14:textId="77777777" w:rsidR="00497DAC" w:rsidRDefault="00497DAC" w:rsidP="008B0B7A">
      <w:pPr>
        <w:spacing w:after="0" w:line="240" w:lineRule="auto"/>
      </w:pPr>
      <w:r>
        <w:continuationSeparator/>
      </w:r>
    </w:p>
  </w:footnote>
  <w:footnote w:type="continuationNotice" w:id="1">
    <w:p w14:paraId="442D228F" w14:textId="77777777" w:rsidR="00497DAC" w:rsidRDefault="00497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115D"/>
    <w:multiLevelType w:val="multilevel"/>
    <w:tmpl w:val="95127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5938"/>
    <w:multiLevelType w:val="multilevel"/>
    <w:tmpl w:val="FF843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86342"/>
    <w:multiLevelType w:val="multilevel"/>
    <w:tmpl w:val="620CE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520ED"/>
    <w:multiLevelType w:val="multilevel"/>
    <w:tmpl w:val="B234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D1F63"/>
    <w:multiLevelType w:val="multilevel"/>
    <w:tmpl w:val="B136E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9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0"/>
  </w:num>
  <w:num w:numId="8" w16cid:durableId="1119566665">
    <w:abstractNumId w:val="8"/>
  </w:num>
  <w:num w:numId="9" w16cid:durableId="2039693425">
    <w:abstractNumId w:val="6"/>
  </w:num>
  <w:num w:numId="10" w16cid:durableId="742526808">
    <w:abstractNumId w:val="32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6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19"/>
  </w:num>
  <w:num w:numId="20" w16cid:durableId="1800874080">
    <w:abstractNumId w:val="31"/>
  </w:num>
  <w:num w:numId="21" w16cid:durableId="270209993">
    <w:abstractNumId w:val="18"/>
  </w:num>
  <w:num w:numId="22" w16cid:durableId="1975325584">
    <w:abstractNumId w:val="10"/>
  </w:num>
  <w:num w:numId="23" w16cid:durableId="90125521">
    <w:abstractNumId w:val="34"/>
  </w:num>
  <w:num w:numId="24" w16cid:durableId="1440300662">
    <w:abstractNumId w:val="33"/>
  </w:num>
  <w:num w:numId="25" w16cid:durableId="763959295">
    <w:abstractNumId w:val="26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7"/>
  </w:num>
  <w:num w:numId="29" w16cid:durableId="1458835460">
    <w:abstractNumId w:val="27"/>
  </w:num>
  <w:num w:numId="30" w16cid:durableId="1905598141">
    <w:abstractNumId w:val="28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7"/>
  </w:num>
  <w:num w:numId="34" w16cid:durableId="548686115">
    <w:abstractNumId w:val="23"/>
  </w:num>
  <w:num w:numId="35" w16cid:durableId="709846214">
    <w:abstractNumId w:val="35"/>
  </w:num>
  <w:num w:numId="36" w16cid:durableId="20861515">
    <w:abstractNumId w:val="20"/>
  </w:num>
  <w:num w:numId="37" w16cid:durableId="1574969707">
    <w:abstractNumId w:val="7"/>
  </w:num>
  <w:num w:numId="38" w16cid:durableId="93397403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B59"/>
    <w:rsid w:val="000A0C19"/>
    <w:rsid w:val="000A10F2"/>
    <w:rsid w:val="000A15D0"/>
    <w:rsid w:val="000A1AFF"/>
    <w:rsid w:val="000A1BC0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7B7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4A6A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793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299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62E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3EBD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4FE6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1E8E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2ED7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5E"/>
    <w:rsid w:val="003E2CCC"/>
    <w:rsid w:val="003E367F"/>
    <w:rsid w:val="003E36DF"/>
    <w:rsid w:val="003E3E0D"/>
    <w:rsid w:val="003E3E2C"/>
    <w:rsid w:val="003E428F"/>
    <w:rsid w:val="003E46CF"/>
    <w:rsid w:val="003E49BD"/>
    <w:rsid w:val="003E4BA5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2E33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324"/>
    <w:rsid w:val="00416CB3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04E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AC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66C3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AA7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83D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081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070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745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320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028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D7B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4E73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88E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7AD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1AC5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2EB8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345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2AE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68A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4E87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380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3FA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137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B8E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0B0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0EC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2F4F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4E7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E6D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40D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57B8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39E7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652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50"/>
    <w:rsid w:val="00BB76AB"/>
    <w:rsid w:val="00BB7D42"/>
    <w:rsid w:val="00BC0014"/>
    <w:rsid w:val="00BC032B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43F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008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DC4"/>
    <w:rsid w:val="00C84FB0"/>
    <w:rsid w:val="00C85146"/>
    <w:rsid w:val="00C85910"/>
    <w:rsid w:val="00C85CDC"/>
    <w:rsid w:val="00C85EC7"/>
    <w:rsid w:val="00C862CD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0FD7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7C0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43D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1FF5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1FA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7A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78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C0A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B34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1DAB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1BB7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2E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34B3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72D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9A1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BA0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0E93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E7LY03&amp;on=AC&amp;AC=q%3DAC9E7LY03%26pageOffset%3D0" TargetMode="External"/><Relationship Id="rId18" Type="http://schemas.openxmlformats.org/officeDocument/2006/relationships/hyperlink" Target="https://www.australiancurriculum.edu.au/search?TTN=q%3DAC9HE8K02&amp;on=AC&amp;AC=q%3DAC9HE8K02%26pageOffset%3D0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v8.australiancurriculum.edu.au/Search/?q=ACPPS072+ACPPS073+ACHEK041+ACHEK05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ELY1721" TargetMode="External"/><Relationship Id="rId17" Type="http://schemas.openxmlformats.org/officeDocument/2006/relationships/hyperlink" Target="https://v8.australiancurriculum.edu.au/Search/?q=ACHEK054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PPS072+ACPPS073+ACHEK041+ACHEK053" TargetMode="External"/><Relationship Id="rId20" Type="http://schemas.openxmlformats.org/officeDocument/2006/relationships/hyperlink" Target="https://www.australiancurriculum.edu.au/search?TTN=q%3DAC9HE9K04&amp;on=AC&amp;AC=q%3DAC9HE9K04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P8P02&amp;on=AC&amp;AC=q%3DAC9HP8P02%26pageOffset%3D0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8.australiancurriculum.edu.au/Search/?q=ACPPS072+ACPPS073+ACHEK041+ACHEK0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PPS071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469</Words>
  <Characters>2181</Characters>
  <Application>Microsoft Office Word</Application>
  <DocSecurity>0</DocSecurity>
  <Lines>155</Lines>
  <Paragraphs>155</Paragraphs>
  <ScaleCrop>false</ScaleCrop>
  <Company>Australian Broadcasting Corporation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89</cp:revision>
  <cp:lastPrinted>2019-09-25T23:01:00Z</cp:lastPrinted>
  <dcterms:created xsi:type="dcterms:W3CDTF">2024-02-09T18:30:00Z</dcterms:created>
  <dcterms:modified xsi:type="dcterms:W3CDTF">2025-11-18T23:54:00Z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